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1FA" w:rsidRDefault="00D771FA" w:rsidP="00D771FA">
      <w:pPr>
        <w:ind w:left="1843" w:right="1983"/>
        <w:jc w:val="both"/>
        <w:rPr>
          <w:rFonts w:ascii="Tahoma" w:hAnsi="Tahoma" w:cs="Tahoma"/>
          <w:i/>
          <w:sz w:val="20"/>
          <w:szCs w:val="20"/>
        </w:rPr>
      </w:pPr>
      <w:r w:rsidRPr="0073781C">
        <w:rPr>
          <w:rFonts w:ascii="Tahoma" w:hAnsi="Tahoma" w:cs="Tahoma"/>
          <w:b/>
          <w:i/>
          <w:sz w:val="20"/>
          <w:szCs w:val="20"/>
        </w:rPr>
        <w:t>Sumilla   :</w:t>
      </w:r>
      <w:r w:rsidRPr="0073781C">
        <w:rPr>
          <w:rFonts w:ascii="Tahoma" w:hAnsi="Tahoma" w:cs="Tahoma"/>
          <w:i/>
          <w:sz w:val="20"/>
          <w:szCs w:val="20"/>
        </w:rPr>
        <w:t xml:space="preserve"> </w:t>
      </w:r>
      <w:r w:rsidRPr="0073781C">
        <w:rPr>
          <w:rFonts w:ascii="Tahoma" w:hAnsi="Tahoma" w:cs="Tahoma"/>
          <w:i/>
          <w:sz w:val="20"/>
          <w:szCs w:val="20"/>
        </w:rPr>
        <w:tab/>
      </w:r>
      <w:r w:rsidRPr="00BE2D5E">
        <w:rPr>
          <w:rFonts w:ascii="Tahoma" w:hAnsi="Tahoma" w:cs="Tahoma"/>
          <w:i/>
          <w:sz w:val="20"/>
          <w:szCs w:val="20"/>
        </w:rPr>
        <w:t>“</w:t>
      </w:r>
      <w:r>
        <w:rPr>
          <w:rFonts w:ascii="Tahoma" w:hAnsi="Tahoma" w:cs="Tahoma"/>
          <w:i/>
          <w:sz w:val="20"/>
          <w:szCs w:val="20"/>
        </w:rPr>
        <w:t>Se impondrá</w:t>
      </w:r>
      <w:r w:rsidRPr="00D771FA">
        <w:rPr>
          <w:rFonts w:ascii="Tahoma" w:hAnsi="Tahoma" w:cs="Tahoma"/>
          <w:i/>
          <w:sz w:val="20"/>
          <w:szCs w:val="20"/>
        </w:rPr>
        <w:t xml:space="preserve"> sanción</w:t>
      </w:r>
      <w:r>
        <w:rPr>
          <w:rFonts w:ascii="Tahoma" w:hAnsi="Tahoma" w:cs="Tahoma"/>
          <w:i/>
          <w:sz w:val="20"/>
          <w:szCs w:val="20"/>
        </w:rPr>
        <w:t xml:space="preserve"> administrativa cuando la Entidad resuelve </w:t>
      </w:r>
      <w:r w:rsidRPr="00D771FA">
        <w:rPr>
          <w:rFonts w:ascii="Tahoma" w:hAnsi="Tahoma" w:cs="Tahoma"/>
          <w:i/>
          <w:sz w:val="20"/>
          <w:szCs w:val="20"/>
        </w:rPr>
        <w:t xml:space="preserve">el </w:t>
      </w:r>
      <w:r>
        <w:rPr>
          <w:rFonts w:ascii="Tahoma" w:hAnsi="Tahoma" w:cs="Tahoma"/>
          <w:i/>
          <w:sz w:val="20"/>
          <w:szCs w:val="20"/>
        </w:rPr>
        <w:t xml:space="preserve">contrato por el retraso injustificado de la contratista que llegó a cubrir el monto máximo de la penalidad” </w:t>
      </w:r>
    </w:p>
    <w:p w:rsidR="00D771FA" w:rsidRPr="00AD6B2B" w:rsidRDefault="00D771FA" w:rsidP="00D771FA">
      <w:pPr>
        <w:pStyle w:val="Textoindependiente3"/>
        <w:spacing w:after="0"/>
        <w:ind w:left="5387"/>
        <w:jc w:val="both"/>
        <w:rPr>
          <w:rFonts w:ascii="Tahoma" w:hAnsi="Tahoma" w:cs="Tahoma"/>
          <w:b/>
          <w:sz w:val="22"/>
          <w:szCs w:val="22"/>
        </w:rPr>
      </w:pPr>
      <w:r w:rsidRPr="00AD6B2B">
        <w:rPr>
          <w:rFonts w:ascii="Tahoma" w:hAnsi="Tahoma" w:cs="Tahoma"/>
          <w:b/>
          <w:sz w:val="22"/>
          <w:szCs w:val="22"/>
        </w:rPr>
        <w:t>Lima,</w:t>
      </w:r>
      <w:r w:rsidR="00DE0DFC">
        <w:rPr>
          <w:rFonts w:ascii="Tahoma" w:hAnsi="Tahoma" w:cs="Tahoma"/>
          <w:b/>
          <w:sz w:val="22"/>
          <w:szCs w:val="22"/>
        </w:rPr>
        <w:t xml:space="preserve"> 05 de Agosto de 2011</w:t>
      </w:r>
    </w:p>
    <w:p w:rsidR="00D771FA" w:rsidRPr="00AD6B2B" w:rsidRDefault="00D771FA" w:rsidP="00D771FA">
      <w:pPr>
        <w:pStyle w:val="Textoindependiente3"/>
        <w:spacing w:after="0"/>
        <w:ind w:left="5387"/>
        <w:jc w:val="both"/>
        <w:rPr>
          <w:rFonts w:ascii="Tahoma" w:hAnsi="Tahoma" w:cs="Tahoma"/>
          <w:b/>
          <w:sz w:val="22"/>
          <w:szCs w:val="22"/>
        </w:rPr>
      </w:pPr>
    </w:p>
    <w:p w:rsidR="00D771FA" w:rsidRPr="00B8648D" w:rsidRDefault="00D771FA" w:rsidP="00D771FA">
      <w:pPr>
        <w:ind w:firstLine="567"/>
        <w:contextualSpacing/>
        <w:jc w:val="both"/>
        <w:rPr>
          <w:rFonts w:ascii="Tahoma" w:hAnsi="Tahoma" w:cs="Tahoma"/>
          <w:sz w:val="21"/>
          <w:szCs w:val="21"/>
        </w:rPr>
      </w:pPr>
      <w:r w:rsidRPr="00B8648D">
        <w:rPr>
          <w:rFonts w:ascii="Tahoma" w:hAnsi="Tahoma" w:cs="Tahoma"/>
          <w:b/>
          <w:sz w:val="21"/>
          <w:szCs w:val="21"/>
        </w:rPr>
        <w:t xml:space="preserve">Visto </w:t>
      </w:r>
      <w:r w:rsidRPr="00B8648D">
        <w:rPr>
          <w:rFonts w:ascii="Tahoma" w:hAnsi="Tahoma" w:cs="Tahoma"/>
          <w:sz w:val="21"/>
          <w:szCs w:val="21"/>
        </w:rPr>
        <w:t xml:space="preserve">en sesión de fecha 05 de agosto de 2011 la Primera Sala del Tribunal de Contrataciones del Estado el Expediente N° 1744-2010-TC; sobre el procedimiento administrativo sancionador iniciado contra la empresa H23 CONSTRUCCIONES S.A.C., </w:t>
      </w:r>
      <w:r w:rsidRPr="00B8648D">
        <w:rPr>
          <w:rFonts w:ascii="Tahoma" w:hAnsi="Tahoma" w:cs="Tahoma"/>
          <w:sz w:val="21"/>
          <w:szCs w:val="21"/>
          <w:lang w:val="es-ES_tradnl" w:eastAsia="es-PE"/>
        </w:rPr>
        <w:t xml:space="preserve">por supuesta responsabilidad </w:t>
      </w:r>
      <w:r w:rsidRPr="00B8648D">
        <w:rPr>
          <w:rFonts w:ascii="Tahoma" w:hAnsi="Tahoma" w:cs="Tahoma"/>
          <w:sz w:val="21"/>
          <w:szCs w:val="21"/>
        </w:rPr>
        <w:t>al haber dado lugar a la resolución del CONTRATO Nº 32-2009-GG, derivado del proceso de selección Adjudicación Directa Selectiva Nº 015-2009-GRA-PEMS (PRIMERA CONVOCATORIA).</w:t>
      </w:r>
    </w:p>
    <w:p w:rsidR="00D771FA" w:rsidRPr="00B8648D" w:rsidRDefault="00D771FA" w:rsidP="00D771FA">
      <w:pPr>
        <w:ind w:firstLine="567"/>
        <w:contextualSpacing/>
        <w:jc w:val="both"/>
        <w:rPr>
          <w:rFonts w:ascii="Tahoma" w:hAnsi="Tahoma" w:cs="Tahoma"/>
          <w:b/>
          <w:sz w:val="21"/>
          <w:szCs w:val="21"/>
          <w:lang w:val="es-ES_tradnl"/>
        </w:rPr>
      </w:pPr>
    </w:p>
    <w:p w:rsidR="00D771FA" w:rsidRPr="00B8648D" w:rsidRDefault="00D771FA" w:rsidP="00D771FA">
      <w:pPr>
        <w:pStyle w:val="Prrafodelista"/>
        <w:ind w:left="567"/>
        <w:rPr>
          <w:rFonts w:ascii="Tahoma" w:hAnsi="Tahoma" w:cs="Tahoma"/>
          <w:b/>
          <w:sz w:val="21"/>
          <w:szCs w:val="21"/>
        </w:rPr>
      </w:pPr>
      <w:r w:rsidRPr="00B8648D">
        <w:rPr>
          <w:rFonts w:ascii="Tahoma" w:hAnsi="Tahoma" w:cs="Tahoma"/>
          <w:b/>
          <w:sz w:val="21"/>
          <w:szCs w:val="21"/>
        </w:rPr>
        <w:t>ANTECEDENTES:</w:t>
      </w:r>
    </w:p>
    <w:p w:rsidR="00D771FA" w:rsidRPr="00B8648D" w:rsidRDefault="00D771FA" w:rsidP="00D771FA">
      <w:pPr>
        <w:jc w:val="both"/>
        <w:rPr>
          <w:rFonts w:ascii="Tahoma" w:hAnsi="Tahoma" w:cs="Tahoma"/>
          <w:b/>
          <w:sz w:val="21"/>
          <w:szCs w:val="21"/>
          <w:lang w:eastAsia="es-PE"/>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 xml:space="preserve">El 21 de agosto del 2009, la </w:t>
      </w:r>
      <w:r w:rsidRPr="00B8648D">
        <w:rPr>
          <w:rFonts w:ascii="Tahoma" w:hAnsi="Tahoma" w:cs="Tahoma"/>
          <w:sz w:val="21"/>
          <w:szCs w:val="21"/>
          <w:lang w:val="es-PE"/>
        </w:rPr>
        <w:t>AUTORIDAD AUTÓNOMA DE MAJES</w:t>
      </w:r>
      <w:r w:rsidRPr="00B8648D">
        <w:rPr>
          <w:rFonts w:ascii="Tahoma" w:hAnsi="Tahoma" w:cs="Tahoma"/>
          <w:sz w:val="21"/>
          <w:szCs w:val="21"/>
        </w:rPr>
        <w:t>, en adelante la Entidad, convocó a la Adjudicación Directa Selectiva Nº 015-2009-GRA-PEMS (PRIMERA CONVOCATORIA), para la ejecución de obra “</w:t>
      </w:r>
      <w:r w:rsidRPr="00B8648D">
        <w:rPr>
          <w:rFonts w:ascii="Tahoma" w:hAnsi="Tahoma" w:cs="Tahoma"/>
          <w:color w:val="000000" w:themeColor="text1"/>
          <w:sz w:val="21"/>
          <w:szCs w:val="21"/>
        </w:rPr>
        <w:t>Obra Micropresa Choquechicha</w:t>
      </w:r>
      <w:r w:rsidRPr="00B8648D">
        <w:rPr>
          <w:rFonts w:ascii="Tahoma" w:hAnsi="Tahoma" w:cs="Tahoma"/>
          <w:sz w:val="21"/>
          <w:szCs w:val="21"/>
        </w:rPr>
        <w:t xml:space="preserve">”, por un valor referencial ascendente a </w:t>
      </w:r>
      <w:r w:rsidRPr="00B8648D">
        <w:rPr>
          <w:rFonts w:ascii="Tahoma" w:hAnsi="Tahoma" w:cs="Tahoma"/>
          <w:bCs/>
          <w:color w:val="000000" w:themeColor="text1"/>
          <w:spacing w:val="-2"/>
          <w:sz w:val="21"/>
          <w:szCs w:val="21"/>
          <w:lang w:val="es-PE"/>
        </w:rPr>
        <w:t>S/.146,166.45 (</w:t>
      </w:r>
      <w:r w:rsidRPr="00B8648D">
        <w:rPr>
          <w:rFonts w:ascii="Tahoma" w:hAnsi="Tahoma" w:cs="Tahoma"/>
          <w:sz w:val="21"/>
          <w:szCs w:val="21"/>
        </w:rPr>
        <w:t>Ciento cuarenta y seis mil ciento sesenta y seis con 45/100 Nuevos Soles</w:t>
      </w:r>
      <w:r w:rsidRPr="00B8648D">
        <w:rPr>
          <w:rFonts w:ascii="Tahoma" w:hAnsi="Tahoma" w:cs="Tahoma"/>
          <w:bCs/>
          <w:color w:val="000000" w:themeColor="text1"/>
          <w:spacing w:val="-2"/>
          <w:sz w:val="21"/>
          <w:szCs w:val="21"/>
          <w:lang w:val="es-PE"/>
        </w:rPr>
        <w:t>)</w:t>
      </w:r>
      <w:r w:rsidRPr="00B8648D">
        <w:rPr>
          <w:rFonts w:ascii="Tahoma" w:hAnsi="Tahoma" w:cs="Tahoma"/>
          <w:sz w:val="21"/>
          <w:szCs w:val="21"/>
        </w:rPr>
        <w:t>.</w:t>
      </w:r>
    </w:p>
    <w:p w:rsidR="00D771FA" w:rsidRPr="00B8648D" w:rsidRDefault="00D771FA" w:rsidP="00D771FA">
      <w:pPr>
        <w:pStyle w:val="Prrafodelista"/>
        <w:widowControl/>
        <w:suppressAutoHyphens w:val="0"/>
        <w:ind w:left="567"/>
        <w:contextualSpacing/>
        <w:jc w:val="both"/>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Con fecha 04 de setiembre del 2009, se realizó el acto de otorgamiento de la Buena Pro, la misma que fue adjudicada a favor de la empresa H23 CONSTRUCCIONES S.A.C., en adelante la Contratista.</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El 29 de setiembre del 2009, la Entidad y la Contratista suscribieron el CONTRATO Nº 32-2009-GG.</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A través de la Carta Nº 015-H23-G-2009 de fecha 05 de diciembre, la Contratista solicitó a la Entidad la aprobación de Ampliación del Plazo Nº 01, por 10 días calendarios.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Mediante la Resolución Gerencial Nº 730-2009-GRA-PEMS-GG-OAJ, se dispuso aprobar la ampliación de plazo de 05 días calendarios para la ejecución de la obra a cargo de la Contratista.</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Con Carta Nº 018-H23-G-2009 de fecha 15 de diciembre del 2009, la Contratista solicitó la aprobación de ampliación de plazo Nº 02 por 05 días calendarios.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A través de la Resolución Gerencial Nº 753-2009-GRA-PEMS-GG-OAJ de fecha 29 de diciembre del 2009, se denegó la ampliación de plazo de 5 días calendarios, solicitada por la Contratista.</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 xml:space="preserve">Mediante Carta Notarial de fecha 30 de diciembre del 2009, diligenciada vía notarial el 31 de diciembre del 2009, la Entidad resolvió el CONTRATO Nº 32-2009-GG, de conformidad al artículo 169 del Reglamento de la Ley de Contrataciones del Estado, </w:t>
      </w:r>
      <w:r w:rsidRPr="00B8648D">
        <w:rPr>
          <w:rFonts w:ascii="Tahoma" w:hAnsi="Tahoma" w:cs="Tahoma"/>
          <w:sz w:val="21"/>
          <w:szCs w:val="21"/>
        </w:rPr>
        <w:lastRenderedPageBreak/>
        <w:t>en razón que el atraso de la obra alcanzó los 20 días, lo cual acumula el monto máximo de la penalidad del 10% establecido en el artículo 165 de dicho reglamento.</w:t>
      </w:r>
    </w:p>
    <w:p w:rsidR="00D771FA" w:rsidRPr="00B8648D" w:rsidRDefault="00D771FA" w:rsidP="00D771FA">
      <w:pPr>
        <w:contextualSpacing/>
        <w:jc w:val="both"/>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Con fecha 07 de enero del 2010, se emitió el Acta de Constatación Física de la Obra Micropresa Choquechicha, con la intervención del Juez de Paz Parcialidad de Jamansaya - Callaili, en el cual se consignó el retraso e incumplimiento de las obligaciones contractuales por parte de la Contratista, así como las paralizaciones que tuvo la ejecución de la obra por falta de pago a sus trabajadores y proveedores.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Mediante escrito presentado el 06 de diciembre del 2010 ante la Oficina Desconcentrada de OSCE, ubicada en la ciudad de Arequipa, la Entidad comunicó a este Tribunal de Contrataciones del Estado, en adelante el Tribunal, los hechos antes expuestos.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A través del decreto de fecha 20 de diciembre del 2010, se solicitó a la Entidad que cumpla con subsanar su comunicación, debiendo adjuntar un Informe Técnico Legal complementario sobre la procedente y presunta responsabilidad de la Contratista; asimismo, se le requirió que indique si la controversia ha sido sometida a procedimiento arbitral u otro mecanismo de solución de conflictos.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Con fecha 14 de marzo del 2011, se reiteró a la Entidad, a fin que cumpla con remitir la documentación e información solicitada mediante decreto de fecha 20 de diciembre del 2010.</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Mediante escrito presentado el 16 de marzo del 2011, ante la Oficina Desconcentrada de OSCE, ubicada en la ciudad de Arequipa, la Entidad cumplió con remitir la documentación solicitada y, además, señaló que la controversia no ha sido sometida a un procedimiento arbitral o mecanismo de solución de conflictos.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A través del decreto de fecha 24 de marzo del 2011, se inició procedimiento administrativo sancionador contra la Contratista, por supuesta responsabilidad al haber dado lugar a la resolución del CONTRATO Nº 32-2009-GG. Asimismo, se le otorgó a la Contratista el plazo de diez (10) días hábiles, a fin que cumpla con presentar sus descargos.</w:t>
      </w:r>
    </w:p>
    <w:p w:rsidR="00D771FA" w:rsidRPr="00B8648D" w:rsidRDefault="00D771FA" w:rsidP="00D771FA">
      <w:pPr>
        <w:pStyle w:val="Prrafodelista"/>
        <w:rPr>
          <w:rFonts w:ascii="Tahoma" w:hAnsi="Tahoma" w:cs="Tahoma"/>
          <w:sz w:val="21"/>
          <w:szCs w:val="21"/>
        </w:rPr>
      </w:pPr>
    </w:p>
    <w:p w:rsidR="00D771FA" w:rsidRPr="00B8648D" w:rsidRDefault="00D771FA" w:rsidP="00D771FA">
      <w:pPr>
        <w:pStyle w:val="Prrafodelista"/>
        <w:widowControl/>
        <w:numPr>
          <w:ilvl w:val="0"/>
          <w:numId w:val="1"/>
        </w:numPr>
        <w:suppressAutoHyphens w:val="0"/>
        <w:ind w:left="567" w:hanging="567"/>
        <w:contextualSpacing/>
        <w:jc w:val="both"/>
        <w:rPr>
          <w:rFonts w:ascii="Tahoma" w:hAnsi="Tahoma" w:cs="Tahoma"/>
          <w:sz w:val="21"/>
          <w:szCs w:val="21"/>
        </w:rPr>
      </w:pPr>
      <w:r w:rsidRPr="00B8648D">
        <w:rPr>
          <w:rFonts w:ascii="Tahoma" w:hAnsi="Tahoma" w:cs="Tahoma"/>
          <w:sz w:val="21"/>
          <w:szCs w:val="21"/>
        </w:rPr>
        <w:t>A través del decreto de fecha 03 de mayo del 2011, se hizo efectivo el apercibimiento de resolver con la documentación obrante en autos, toda vez que la Contratista no cumplió con remitir sus descargos dentro del plazo otorgado.</w:t>
      </w:r>
    </w:p>
    <w:p w:rsidR="00D771FA" w:rsidRPr="00B8648D" w:rsidRDefault="00D771FA" w:rsidP="00D771FA">
      <w:pPr>
        <w:rPr>
          <w:rFonts w:ascii="Tahoma" w:hAnsi="Tahoma" w:cs="Tahoma"/>
          <w:b/>
          <w:sz w:val="21"/>
          <w:szCs w:val="21"/>
          <w:lang w:val="es-ES_tradnl"/>
        </w:rPr>
      </w:pPr>
    </w:p>
    <w:p w:rsidR="00D771FA" w:rsidRPr="00B8648D" w:rsidRDefault="00D771FA" w:rsidP="00D771FA">
      <w:pPr>
        <w:pStyle w:val="Prrafodelista"/>
        <w:ind w:left="567"/>
        <w:rPr>
          <w:rFonts w:ascii="Tahoma" w:hAnsi="Tahoma" w:cs="Tahoma"/>
          <w:b/>
          <w:sz w:val="21"/>
          <w:szCs w:val="21"/>
        </w:rPr>
      </w:pPr>
      <w:r w:rsidRPr="00B8648D">
        <w:rPr>
          <w:rFonts w:ascii="Tahoma" w:hAnsi="Tahoma" w:cs="Tahoma"/>
          <w:b/>
          <w:sz w:val="21"/>
          <w:szCs w:val="21"/>
        </w:rPr>
        <w:t>FUNDAMENTACIÓN</w:t>
      </w:r>
    </w:p>
    <w:p w:rsidR="00D771FA" w:rsidRPr="00B8648D" w:rsidRDefault="00D771FA" w:rsidP="00D771FA">
      <w:pPr>
        <w:ind w:left="426"/>
        <w:jc w:val="both"/>
        <w:rPr>
          <w:rFonts w:ascii="Tahoma" w:hAnsi="Tahoma" w:cs="Tahoma"/>
          <w:sz w:val="21"/>
          <w:szCs w:val="21"/>
          <w:lang w:eastAsia="es-PE"/>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Es materia del presente procedimiento administrativo sancionador, la supuesta responsabilidad de la Contratista</w:t>
      </w:r>
      <w:r w:rsidRPr="00B8648D">
        <w:rPr>
          <w:rFonts w:ascii="Tahoma" w:eastAsia="MS Mincho" w:hAnsi="Tahoma" w:cs="Tahoma"/>
          <w:sz w:val="21"/>
          <w:szCs w:val="21"/>
        </w:rPr>
        <w:t xml:space="preserve">, por haber dado lugar a la resolución del </w:t>
      </w:r>
      <w:r w:rsidRPr="00B8648D">
        <w:rPr>
          <w:rFonts w:ascii="Tahoma" w:hAnsi="Tahoma" w:cs="Tahoma"/>
          <w:sz w:val="21"/>
          <w:szCs w:val="21"/>
        </w:rPr>
        <w:t xml:space="preserve">CONTRATO Nº 32-2009-GG, la cual fue materia de la Adjudicación Directa Selectiva Nº 015-2009-GRA-PEMS (PRIMERA CONVOCATORIA), infracción </w:t>
      </w:r>
      <w:r w:rsidRPr="00B8648D">
        <w:rPr>
          <w:rFonts w:ascii="Tahoma" w:eastAsia="MS Mincho" w:hAnsi="Tahoma" w:cs="Tahoma"/>
          <w:sz w:val="21"/>
          <w:szCs w:val="21"/>
        </w:rPr>
        <w:t xml:space="preserve">tipificada en el literal b) del numeral 51.1 del artículo 51 de la Ley de Contrataciones del Estado, </w:t>
      </w:r>
      <w:r w:rsidRPr="00B8648D">
        <w:rPr>
          <w:rFonts w:ascii="Tahoma" w:eastAsia="MS Mincho" w:hAnsi="Tahoma" w:cs="Tahoma"/>
          <w:sz w:val="21"/>
          <w:szCs w:val="21"/>
        </w:rPr>
        <w:lastRenderedPageBreak/>
        <w:t xml:space="preserve">aprobado mediante Decreto Legislativo Nº 1017, en adelante la Ley, </w:t>
      </w:r>
      <w:r w:rsidRPr="00B8648D">
        <w:rPr>
          <w:rFonts w:ascii="Tahoma" w:hAnsi="Tahoma" w:cs="Tahoma"/>
          <w:sz w:val="21"/>
          <w:szCs w:val="21"/>
        </w:rPr>
        <w:t>norma vigente al momento de suscitarse los hechos imputados.</w:t>
      </w:r>
    </w:p>
    <w:p w:rsidR="00D771FA" w:rsidRPr="00B8648D" w:rsidRDefault="00D771FA" w:rsidP="00D771FA">
      <w:pPr>
        <w:ind w:left="567" w:right="-1"/>
        <w:jc w:val="both"/>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 xml:space="preserve">El procedimiento de resolución contractual, cuya observancia es condición necesaria para evaluar la existencia de eventuales responsabilidades de carácter administrativo, se encuentra previsto en el literal c) del artículo 40 de la Ley, la misma que ha dispuesto que en </w:t>
      </w:r>
      <w:r w:rsidRPr="00B8648D">
        <w:rPr>
          <w:rFonts w:ascii="Tahoma" w:hAnsi="Tahoma" w:cs="Tahoma"/>
          <w:i/>
          <w:sz w:val="21"/>
          <w:szCs w:val="21"/>
        </w:rPr>
        <w:t xml:space="preserve">caso de incumplimiento por parte del contratista de alguna de sus obligaciones, que haya sido previamente observada por la Entidad, y no haya sido materia de subsanación, </w:t>
      </w:r>
      <w:r w:rsidRPr="00B8648D">
        <w:rPr>
          <w:rFonts w:ascii="Tahoma" w:hAnsi="Tahoma" w:cs="Tahoma"/>
          <w:i/>
          <w:sz w:val="21"/>
          <w:szCs w:val="21"/>
          <w:u w:val="single"/>
        </w:rPr>
        <w:t>esta última podrá resolver el contrato; en forma total o parcial, mediante la remisión por la vía notarial del documento en el que se manifieste esta decisión y el motivo que la justifica. Dicho documento será aprobado por autoridad del mismo nivel jerárquico de aquella que haya suscrito el contrato</w:t>
      </w:r>
      <w:r w:rsidRPr="00B8648D">
        <w:rPr>
          <w:rFonts w:ascii="Tahoma" w:hAnsi="Tahoma" w:cs="Tahoma"/>
          <w:i/>
          <w:sz w:val="21"/>
          <w:szCs w:val="21"/>
        </w:rPr>
        <w:t>. El contrato queda resuelto de pleno derecho a partir de la recepción de dicha comunicación por el contratista.</w:t>
      </w:r>
    </w:p>
    <w:p w:rsidR="00D771FA" w:rsidRPr="00B8648D" w:rsidRDefault="00D771FA" w:rsidP="00D771FA">
      <w:pPr>
        <w:contextualSpacing/>
        <w:jc w:val="both"/>
        <w:rPr>
          <w:rFonts w:ascii="Tahoma" w:hAnsi="Tahoma" w:cs="Tahoma"/>
          <w:sz w:val="21"/>
          <w:szCs w:val="21"/>
        </w:rPr>
      </w:pPr>
    </w:p>
    <w:p w:rsidR="00D771FA" w:rsidRPr="00B8648D" w:rsidRDefault="00D771FA" w:rsidP="00D771FA">
      <w:pPr>
        <w:pStyle w:val="Prrafodelista"/>
        <w:widowControl/>
        <w:suppressAutoHyphens w:val="0"/>
        <w:ind w:left="567"/>
        <w:contextualSpacing/>
        <w:jc w:val="both"/>
        <w:rPr>
          <w:rFonts w:ascii="Tahoma" w:hAnsi="Tahoma" w:cs="Tahoma"/>
          <w:sz w:val="21"/>
          <w:szCs w:val="21"/>
          <w:lang w:eastAsia="es-PE"/>
        </w:rPr>
      </w:pPr>
      <w:r w:rsidRPr="00B8648D">
        <w:rPr>
          <w:rFonts w:ascii="Tahoma" w:hAnsi="Tahoma" w:cs="Tahoma"/>
          <w:sz w:val="21"/>
          <w:szCs w:val="21"/>
        </w:rPr>
        <w:t xml:space="preserve">Asimismo, en relación a lo señalado anteriormente, el </w:t>
      </w:r>
      <w:r w:rsidRPr="00B8648D">
        <w:rPr>
          <w:rFonts w:ascii="Tahoma" w:hAnsi="Tahoma" w:cs="Tahoma"/>
          <w:sz w:val="21"/>
          <w:szCs w:val="21"/>
          <w:lang w:eastAsia="es-PE"/>
        </w:rPr>
        <w:t xml:space="preserve">artículo 169 del Reglamento ha establecido que en el caso de incumplimiento contractual de una de las partes involucradas, la parte que resulte perjudicada con tal hecho (en este caso, la Entidad) deberá requerir a la otra mediante carta notarial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plazo éste último que se otorgará necesariamente en el caso de obras. Vencido dicho plazo y </w:t>
      </w:r>
      <w:r w:rsidRPr="00B8648D">
        <w:rPr>
          <w:rFonts w:ascii="Tahoma" w:hAnsi="Tahoma" w:cs="Tahoma"/>
          <w:sz w:val="21"/>
          <w:szCs w:val="21"/>
          <w:u w:val="single"/>
          <w:lang w:eastAsia="es-PE"/>
        </w:rPr>
        <w:t>de continuar el incumplimiento contractual, la citada disposición reglamentaria precisa que la parte perjudicada resolverá el contrato en forma total o parcial, comunicando mediante carta notarial la decisión de resolver el contrato</w:t>
      </w:r>
      <w:r w:rsidRPr="00B8648D">
        <w:rPr>
          <w:rFonts w:ascii="Tahoma" w:hAnsi="Tahoma" w:cs="Tahoma"/>
          <w:sz w:val="21"/>
          <w:szCs w:val="21"/>
          <w:lang w:eastAsia="es-PE"/>
        </w:rPr>
        <w:t>.</w:t>
      </w:r>
    </w:p>
    <w:p w:rsidR="00D771FA" w:rsidRPr="00B8648D" w:rsidRDefault="00D771FA" w:rsidP="00D771FA">
      <w:pPr>
        <w:pStyle w:val="Prrafodelista"/>
        <w:widowControl/>
        <w:suppressAutoHyphens w:val="0"/>
        <w:ind w:left="567"/>
        <w:contextualSpacing/>
        <w:jc w:val="both"/>
        <w:rPr>
          <w:rFonts w:ascii="Tahoma" w:hAnsi="Tahoma" w:cs="Tahoma"/>
          <w:sz w:val="21"/>
          <w:szCs w:val="21"/>
          <w:lang w:eastAsia="es-PE"/>
        </w:rPr>
      </w:pPr>
    </w:p>
    <w:p w:rsidR="00D771FA" w:rsidRPr="00B8648D" w:rsidRDefault="00D771FA" w:rsidP="00D771FA">
      <w:pPr>
        <w:pStyle w:val="Prrafodelista"/>
        <w:widowControl/>
        <w:suppressAutoHyphens w:val="0"/>
        <w:ind w:left="567"/>
        <w:contextualSpacing/>
        <w:jc w:val="both"/>
        <w:rPr>
          <w:rFonts w:ascii="Tahoma" w:hAnsi="Tahoma" w:cs="Tahoma"/>
          <w:sz w:val="21"/>
          <w:szCs w:val="21"/>
        </w:rPr>
      </w:pPr>
      <w:r w:rsidRPr="00B8648D">
        <w:rPr>
          <w:rFonts w:ascii="Tahoma" w:hAnsi="Tahoma" w:cs="Tahoma"/>
          <w:sz w:val="21"/>
          <w:szCs w:val="21"/>
        </w:rPr>
        <w:t>Así también, cabe precisar que el acotado artículo 169 establece que no será necesario efectuar un requerimiento previo cuando la resolución del contrato se deba a la acumulación del monto máximo de penalidad por mora, o por otras penalidades, o cuando la situación de incumplimiento no pueda ser revertida. En este caso, bastará comunicar al contratista mediante carta notarial la decisión de resolver el contrato.</w:t>
      </w:r>
    </w:p>
    <w:p w:rsidR="00D771FA" w:rsidRPr="00B8648D" w:rsidRDefault="00D771FA" w:rsidP="00D771FA">
      <w:pPr>
        <w:pStyle w:val="Prrafodelista"/>
        <w:widowControl/>
        <w:suppressAutoHyphens w:val="0"/>
        <w:ind w:left="426"/>
        <w:contextualSpacing/>
        <w:jc w:val="both"/>
        <w:rPr>
          <w:rFonts w:ascii="Tahoma" w:hAnsi="Tahoma" w:cs="Tahoma"/>
          <w:sz w:val="21"/>
          <w:szCs w:val="21"/>
          <w:lang w:eastAsia="es-PE"/>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Como se advierte, la norma ha dispuesto un procedimiento especial para que la Entidad pueda resolver el contrato válidamente. En ese sentido, el Tribunal está obligado a verificar que la Entidad haya cumplido dicho procedimiento.</w:t>
      </w:r>
    </w:p>
    <w:p w:rsidR="00D771FA" w:rsidRPr="00B8648D" w:rsidRDefault="00D771FA" w:rsidP="00D771FA">
      <w:pPr>
        <w:ind w:left="567" w:right="-1"/>
        <w:jc w:val="both"/>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Ahora bien, de la revisión de la documentación que obra en autos, se puede advertir que a través de la Carta Notarial de fecha 30 de diciembre del 2009, diligenciada vía notarial el 31 de diciembre del 2009, la Entidad resolvió el CONTRATO Nº 32-2009-GG, toda vez que la Contratista habría llegado a acumular el monto máximo de la penalidad por mora en la ejecución de la prestación a su cargo, razón por la cual, en aplicación del acotado artículo 169, no era necesario efectuar un requerimiento previo.</w:t>
      </w:r>
    </w:p>
    <w:p w:rsidR="00D771FA" w:rsidRPr="00B8648D" w:rsidRDefault="00D771FA" w:rsidP="00D771FA">
      <w:pPr>
        <w:ind w:right="-1"/>
        <w:jc w:val="both"/>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lastRenderedPageBreak/>
        <w:t>En razón de lo expuesto, se ha acreditado que ha quedado resuelto de pleno derecho el contrato, tanto más, teniendo en consideración que según lo informado a esta instancia, la Contratista no ha objetado sus efectos utilizando los mecanismos de solución de controversia, es decir conciliación y/o arbitraje.</w:t>
      </w:r>
    </w:p>
    <w:p w:rsidR="00D771FA" w:rsidRPr="00B8648D" w:rsidRDefault="00D771FA" w:rsidP="00D771FA">
      <w:pPr>
        <w:pStyle w:val="Prrafodelista"/>
        <w:rPr>
          <w:rFonts w:ascii="Tahoma" w:hAnsi="Tahoma" w:cs="Tahoma"/>
          <w:sz w:val="21"/>
          <w:szCs w:val="21"/>
          <w:lang w:val="es-ES"/>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D771FA" w:rsidRPr="00B8648D" w:rsidRDefault="00D771FA" w:rsidP="00D771FA">
      <w:pPr>
        <w:pStyle w:val="Prrafodelista"/>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B8648D">
        <w:rPr>
          <w:rStyle w:val="Refdenotaalpie"/>
          <w:rFonts w:ascii="Tahoma" w:hAnsi="Tahoma" w:cs="Tahoma"/>
          <w:sz w:val="21"/>
          <w:szCs w:val="21"/>
        </w:rPr>
        <w:footnoteReference w:id="2"/>
      </w:r>
      <w:r w:rsidRPr="00B8648D">
        <w:rPr>
          <w:rFonts w:ascii="Tahoma" w:hAnsi="Tahoma" w:cs="Tahoma"/>
          <w:sz w:val="21"/>
          <w:szCs w:val="21"/>
        </w:rPr>
        <w:t>.</w:t>
      </w:r>
    </w:p>
    <w:p w:rsidR="00D771FA" w:rsidRPr="00B8648D" w:rsidRDefault="00D771FA" w:rsidP="00D771FA">
      <w:pPr>
        <w:pStyle w:val="Prrafodelista"/>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Sin embargo, es preciso tener en cuenta que la Contratista no ha formulado sus descargos, a pesar de haber sido debidamente notificado mediante Cédula de Notificación Nº 9061/2011.TC</w:t>
      </w:r>
      <w:r w:rsidRPr="00B8648D">
        <w:rPr>
          <w:rStyle w:val="Refdenotaalpie"/>
          <w:rFonts w:ascii="Tahoma" w:hAnsi="Tahoma" w:cs="Tahoma"/>
          <w:sz w:val="21"/>
          <w:szCs w:val="21"/>
        </w:rPr>
        <w:footnoteReference w:id="3"/>
      </w:r>
      <w:r w:rsidRPr="00B8648D">
        <w:rPr>
          <w:rFonts w:ascii="Tahoma" w:hAnsi="Tahoma" w:cs="Tahoma"/>
          <w:sz w:val="21"/>
          <w:szCs w:val="21"/>
        </w:rPr>
        <w:t>, según cargo que obran en autos.</w:t>
      </w:r>
    </w:p>
    <w:p w:rsidR="00D771FA" w:rsidRPr="00B8648D" w:rsidRDefault="00D771FA" w:rsidP="00D771FA">
      <w:pPr>
        <w:pStyle w:val="Prrafodelista"/>
        <w:rPr>
          <w:rFonts w:ascii="Tahoma" w:hAnsi="Tahoma" w:cs="Tahoma"/>
          <w:sz w:val="21"/>
          <w:szCs w:val="21"/>
          <w:lang w:val="es-ES"/>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 xml:space="preserve">Por lo expuesto, atendiendo que no obra en el expediente medio probatorio que justifiquen el incumplimiento de las obligaciones a cargo de la Contratista; este Tribunal considera que corresponde imponerle sanción administrativa por haber incurrido en la causal prevista en el </w:t>
      </w:r>
      <w:r w:rsidRPr="00B8648D">
        <w:rPr>
          <w:rFonts w:ascii="Tahoma" w:eastAsia="MS Mincho" w:hAnsi="Tahoma" w:cs="Tahoma"/>
          <w:sz w:val="21"/>
          <w:szCs w:val="21"/>
        </w:rPr>
        <w:t>literal b) del numeral 51.1 del artículo 51 de la Ley</w:t>
      </w:r>
      <w:r w:rsidRPr="00B8648D">
        <w:rPr>
          <w:rFonts w:ascii="Tahoma" w:hAnsi="Tahoma" w:cs="Tahoma"/>
          <w:sz w:val="21"/>
          <w:szCs w:val="21"/>
        </w:rPr>
        <w:t>.</w:t>
      </w:r>
    </w:p>
    <w:p w:rsidR="00D771FA" w:rsidRPr="00B8648D" w:rsidRDefault="00D771FA" w:rsidP="00D771FA">
      <w:pPr>
        <w:pStyle w:val="Prrafodelista"/>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 xml:space="preserve">En tal sentido, en el presente caso la sanción se aplicará de conformidad al artículo 237 </w:t>
      </w:r>
      <w:r w:rsidRPr="00B8648D">
        <w:rPr>
          <w:rFonts w:ascii="Tahoma" w:eastAsia="MS Mincho" w:hAnsi="Tahoma" w:cs="Tahoma"/>
          <w:sz w:val="21"/>
          <w:szCs w:val="21"/>
        </w:rPr>
        <w:t xml:space="preserve">del Reglamento, el mismo que </w:t>
      </w:r>
      <w:r w:rsidRPr="00B8648D">
        <w:rPr>
          <w:rFonts w:ascii="Tahoma" w:hAnsi="Tahoma" w:cs="Tahoma"/>
          <w:sz w:val="21"/>
          <w:szCs w:val="21"/>
        </w:rPr>
        <w:t xml:space="preserve">establece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D771FA" w:rsidRPr="00B8648D" w:rsidRDefault="00D771FA" w:rsidP="00D771FA">
      <w:pPr>
        <w:jc w:val="both"/>
        <w:rPr>
          <w:rFonts w:ascii="Tahoma" w:hAnsi="Tahoma" w:cs="Tahoma"/>
          <w:sz w:val="21"/>
          <w:szCs w:val="21"/>
        </w:rPr>
      </w:pPr>
    </w:p>
    <w:p w:rsidR="00D771FA" w:rsidRPr="00B8648D" w:rsidRDefault="00D771FA" w:rsidP="00D771FA">
      <w:pPr>
        <w:ind w:left="567"/>
        <w:jc w:val="both"/>
        <w:rPr>
          <w:rFonts w:ascii="Tahoma" w:hAnsi="Tahoma" w:cs="Tahoma"/>
          <w:sz w:val="21"/>
          <w:szCs w:val="21"/>
        </w:rPr>
      </w:pPr>
      <w:r w:rsidRPr="00B8648D">
        <w:rPr>
          <w:rFonts w:ascii="Tahoma" w:hAnsi="Tahoma" w:cs="Tahoma"/>
          <w:sz w:val="21"/>
          <w:szCs w:val="21"/>
        </w:rPr>
        <w:lastRenderedPageBreak/>
        <w:t>Asimismo, la sanción que se impondrá deberá ser graduada dentro de los límites dispuestos en dicho artículo 237, para lo cual deberá tenerse en cuenta lo dispuesto por el artículo 245</w:t>
      </w:r>
      <w:r w:rsidRPr="00B8648D">
        <w:rPr>
          <w:rStyle w:val="Refdenotaalpie"/>
          <w:rFonts w:ascii="Tahoma" w:eastAsia="Batang" w:hAnsi="Tahoma" w:cs="Tahoma"/>
          <w:sz w:val="21"/>
          <w:szCs w:val="21"/>
        </w:rPr>
        <w:footnoteReference w:id="4"/>
      </w:r>
      <w:r w:rsidRPr="00B8648D">
        <w:rPr>
          <w:rFonts w:ascii="Tahoma" w:hAnsi="Tahoma" w:cs="Tahoma"/>
          <w:sz w:val="21"/>
          <w:szCs w:val="21"/>
        </w:rPr>
        <w:t xml:space="preserve"> del Reglamento.</w:t>
      </w:r>
    </w:p>
    <w:p w:rsidR="00D771FA" w:rsidRPr="00B8648D" w:rsidRDefault="00D771FA" w:rsidP="00D771FA">
      <w:pPr>
        <w:pStyle w:val="Prrafodelista"/>
        <w:jc w:val="both"/>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Atendiendo a dichos criterios,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D771FA" w:rsidRPr="00B8648D" w:rsidRDefault="00D771FA" w:rsidP="00D771FA">
      <w:pPr>
        <w:ind w:left="567" w:right="-1"/>
        <w:jc w:val="both"/>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sz w:val="21"/>
          <w:szCs w:val="21"/>
        </w:rPr>
        <w:t xml:space="preserve">Asimismo, respecto de la conducta procesal, conviene precisar que durante la sustanciación del presente procedimiento administrativo sancionador, no se han presentado los descargos dentro del plazo concedido, situación que se mantiene hasta la fecha de emisión de la presente resolución. </w:t>
      </w:r>
    </w:p>
    <w:p w:rsidR="00D771FA" w:rsidRPr="00B8648D" w:rsidRDefault="00D771FA" w:rsidP="00D771FA">
      <w:pPr>
        <w:pStyle w:val="Prrafodelista"/>
        <w:rPr>
          <w:rFonts w:ascii="Tahoma" w:hAnsi="Tahoma" w:cs="Tahoma"/>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sz w:val="21"/>
          <w:szCs w:val="21"/>
        </w:rPr>
      </w:pPr>
      <w:r w:rsidRPr="00B8648D">
        <w:rPr>
          <w:rFonts w:ascii="Tahoma" w:hAnsi="Tahoma" w:cs="Tahoma"/>
          <w:color w:val="000000" w:themeColor="text1"/>
          <w:sz w:val="21"/>
          <w:szCs w:val="21"/>
        </w:rPr>
        <w:t xml:space="preserve">Así también, </w:t>
      </w:r>
      <w:r w:rsidRPr="00B8648D">
        <w:rPr>
          <w:rFonts w:ascii="Tahoma" w:hAnsi="Tahoma" w:cs="Tahoma"/>
          <w:sz w:val="21"/>
          <w:szCs w:val="21"/>
        </w:rPr>
        <w:t>se debe tomar en cuenta que la Contratista carece de antecedentes en la comisión de infracciones administrativas, criterio especialmente relevante a efectos de atenuar la sanción a imponerse en casos como éste.</w:t>
      </w:r>
    </w:p>
    <w:p w:rsidR="00D771FA" w:rsidRPr="00B8648D" w:rsidRDefault="00D771FA" w:rsidP="00D771FA">
      <w:pPr>
        <w:pStyle w:val="Prrafodelista"/>
        <w:rPr>
          <w:rFonts w:ascii="Tahoma" w:hAnsi="Tahoma" w:cs="Tahoma"/>
          <w:color w:val="000000" w:themeColor="text1"/>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color w:val="000000" w:themeColor="text1"/>
          <w:sz w:val="21"/>
          <w:szCs w:val="21"/>
        </w:rPr>
      </w:pPr>
      <w:r w:rsidRPr="00B8648D">
        <w:rPr>
          <w:rFonts w:ascii="Tahoma" w:hAnsi="Tahoma" w:cs="Tahoma"/>
          <w:sz w:val="21"/>
          <w:szCs w:val="21"/>
        </w:rPr>
        <w:t xml:space="preserve">Finalmente, resulta importante traer a colación el </w:t>
      </w:r>
      <w:r w:rsidRPr="00B8648D">
        <w:rPr>
          <w:rFonts w:ascii="Tahoma" w:hAnsi="Tahoma" w:cs="Tahoma"/>
          <w:i/>
          <w:sz w:val="21"/>
          <w:szCs w:val="21"/>
        </w:rPr>
        <w:t>Principio de Razonabilidad</w:t>
      </w:r>
      <w:r w:rsidRPr="00B8648D">
        <w:rPr>
          <w:rFonts w:ascii="Tahoma" w:hAnsi="Tahoma" w:cs="Tahoma"/>
          <w:sz w:val="21"/>
          <w:szCs w:val="21"/>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D771FA" w:rsidRPr="00B8648D" w:rsidRDefault="00D771FA" w:rsidP="00D771FA">
      <w:pPr>
        <w:pStyle w:val="Prrafodelista"/>
        <w:rPr>
          <w:rFonts w:ascii="Tahoma" w:hAnsi="Tahoma" w:cs="Tahoma"/>
          <w:color w:val="000000" w:themeColor="text1"/>
          <w:sz w:val="21"/>
          <w:szCs w:val="21"/>
        </w:rPr>
      </w:pPr>
    </w:p>
    <w:p w:rsidR="00D771FA" w:rsidRPr="00B8648D" w:rsidRDefault="00D771FA" w:rsidP="00D771FA">
      <w:pPr>
        <w:numPr>
          <w:ilvl w:val="0"/>
          <w:numId w:val="5"/>
        </w:numPr>
        <w:tabs>
          <w:tab w:val="clear" w:pos="454"/>
        </w:tabs>
        <w:ind w:left="567" w:right="-1" w:hanging="567"/>
        <w:jc w:val="both"/>
        <w:rPr>
          <w:rFonts w:ascii="Tahoma" w:hAnsi="Tahoma" w:cs="Tahoma"/>
          <w:color w:val="000000" w:themeColor="text1"/>
          <w:sz w:val="21"/>
          <w:szCs w:val="21"/>
        </w:rPr>
      </w:pPr>
      <w:r w:rsidRPr="00B8648D">
        <w:rPr>
          <w:rFonts w:ascii="Tahoma" w:hAnsi="Tahoma" w:cs="Tahoma"/>
          <w:sz w:val="21"/>
          <w:szCs w:val="21"/>
        </w:rPr>
        <w:t xml:space="preserve">Por lo antes expuesto, sin que medien circunstancias adicionales que permitan atenuar la responsabilidad de la Contratista en la comisión de la infracción, corresponde imponerle </w:t>
      </w:r>
      <w:r w:rsidRPr="00B8648D">
        <w:rPr>
          <w:rFonts w:ascii="Tahoma" w:eastAsia="MS Mincho" w:hAnsi="Tahoma" w:cs="Tahoma"/>
          <w:sz w:val="21"/>
          <w:szCs w:val="21"/>
        </w:rPr>
        <w:t>la</w:t>
      </w:r>
      <w:r w:rsidRPr="00B8648D">
        <w:rPr>
          <w:rFonts w:ascii="Tahoma" w:hAnsi="Tahoma" w:cs="Tahoma"/>
          <w:sz w:val="21"/>
          <w:szCs w:val="21"/>
        </w:rPr>
        <w:t xml:space="preserve"> sanción administrativa de inhabilitación temporal en sus derechos para participar en procesos de selección y contratar con el Estado, por el periodo de trece (13) meses.</w:t>
      </w:r>
    </w:p>
    <w:p w:rsidR="00D771FA" w:rsidRPr="00B8648D" w:rsidRDefault="00D771FA" w:rsidP="00D771FA">
      <w:pPr>
        <w:jc w:val="both"/>
        <w:rPr>
          <w:rFonts w:ascii="Tahoma" w:hAnsi="Tahoma" w:cs="Tahoma"/>
          <w:sz w:val="21"/>
          <w:szCs w:val="21"/>
        </w:rPr>
      </w:pPr>
    </w:p>
    <w:p w:rsidR="00D771FA" w:rsidRPr="00B8648D" w:rsidRDefault="00D771FA" w:rsidP="00D771FA">
      <w:pPr>
        <w:tabs>
          <w:tab w:val="left" w:pos="3544"/>
          <w:tab w:val="left" w:pos="7230"/>
        </w:tabs>
        <w:ind w:right="-1" w:firstLine="567"/>
        <w:jc w:val="both"/>
        <w:rPr>
          <w:rFonts w:ascii="Tahoma" w:eastAsiaTheme="minorHAnsi" w:hAnsi="Tahoma" w:cs="Tahoma"/>
          <w:color w:val="000000"/>
          <w:sz w:val="21"/>
          <w:szCs w:val="21"/>
        </w:rPr>
      </w:pPr>
      <w:r w:rsidRPr="00B8648D">
        <w:rPr>
          <w:rFonts w:ascii="Tahoma" w:hAnsi="Tahoma" w:cs="Tahoma"/>
          <w:sz w:val="21"/>
          <w:szCs w:val="21"/>
        </w:rPr>
        <w:lastRenderedPageBreak/>
        <w:t xml:space="preserve">Por estos fundamentos, </w:t>
      </w:r>
      <w:r w:rsidRPr="00B8648D">
        <w:rPr>
          <w:rFonts w:ascii="Tahoma" w:hAnsi="Tahoma" w:cs="Tahoma"/>
          <w:color w:val="000000"/>
          <w:sz w:val="21"/>
          <w:szCs w:val="21"/>
        </w:rPr>
        <w:t>de conformidad con el inf</w:t>
      </w:r>
      <w:r w:rsidRPr="00B8648D">
        <w:rPr>
          <w:rFonts w:ascii="Tahoma" w:eastAsia="Calibri" w:hAnsi="Tahoma" w:cs="Tahoma"/>
          <w:color w:val="000000"/>
          <w:sz w:val="21"/>
          <w:szCs w:val="21"/>
        </w:rPr>
        <w:t xml:space="preserve">orme de la Vocal Ponente Dra. Ada Rosa Basulto Liewald y la intervención de los Señores Vocales </w:t>
      </w:r>
      <w:r w:rsidRPr="00B8648D">
        <w:rPr>
          <w:rFonts w:ascii="Tahoma" w:eastAsiaTheme="minorHAnsi" w:hAnsi="Tahoma" w:cs="Tahoma"/>
          <w:color w:val="000000"/>
          <w:sz w:val="21"/>
          <w:szCs w:val="21"/>
        </w:rPr>
        <w:t>Dr</w:t>
      </w:r>
      <w:r w:rsidR="00743795" w:rsidRPr="00B8648D">
        <w:rPr>
          <w:rFonts w:ascii="Tahoma" w:eastAsiaTheme="minorHAnsi" w:hAnsi="Tahoma" w:cs="Tahoma"/>
          <w:color w:val="000000"/>
          <w:sz w:val="21"/>
          <w:szCs w:val="21"/>
        </w:rPr>
        <w:t>a</w:t>
      </w:r>
      <w:r w:rsidRPr="00B8648D">
        <w:rPr>
          <w:rFonts w:ascii="Tahoma" w:eastAsiaTheme="minorHAnsi" w:hAnsi="Tahoma" w:cs="Tahoma"/>
          <w:color w:val="000000"/>
          <w:sz w:val="21"/>
          <w:szCs w:val="21"/>
        </w:rPr>
        <w:t xml:space="preserve">. </w:t>
      </w:r>
      <w:r w:rsidR="00743795" w:rsidRPr="00B8648D">
        <w:rPr>
          <w:rStyle w:val="Textoennegrita"/>
          <w:rFonts w:ascii="Tahoma" w:hAnsi="Tahoma" w:cs="Tahoma"/>
          <w:b w:val="0"/>
          <w:color w:val="000000"/>
          <w:sz w:val="21"/>
          <w:szCs w:val="21"/>
        </w:rPr>
        <w:t xml:space="preserve">Patricia Seminario Zavala </w:t>
      </w:r>
      <w:r w:rsidRPr="00B8648D">
        <w:rPr>
          <w:rFonts w:ascii="Tahoma" w:eastAsiaTheme="minorHAnsi" w:hAnsi="Tahoma" w:cs="Tahoma"/>
          <w:color w:val="000000"/>
          <w:sz w:val="21"/>
          <w:szCs w:val="21"/>
        </w:rPr>
        <w:t xml:space="preserve">y </w:t>
      </w:r>
      <w:r w:rsidRPr="00B8648D">
        <w:rPr>
          <w:rFonts w:ascii="Tahoma" w:eastAsia="Calibri" w:hAnsi="Tahoma" w:cs="Tahoma"/>
          <w:color w:val="000000"/>
          <w:sz w:val="21"/>
          <w:szCs w:val="21"/>
        </w:rPr>
        <w:t xml:space="preserve">Dra. </w:t>
      </w:r>
      <w:r w:rsidR="00743795" w:rsidRPr="00B8648D">
        <w:rPr>
          <w:rStyle w:val="Textoennegrita"/>
          <w:rFonts w:ascii="Tahoma" w:hAnsi="Tahoma" w:cs="Tahoma"/>
          <w:b w:val="0"/>
          <w:color w:val="000000"/>
          <w:sz w:val="21"/>
          <w:szCs w:val="21"/>
        </w:rPr>
        <w:t>Mónica Yadira Yaya Luyo</w:t>
      </w:r>
      <w:r w:rsidRPr="00B8648D">
        <w:rPr>
          <w:rFonts w:ascii="Tahoma" w:eastAsia="Calibri" w:hAnsi="Tahoma" w:cs="Tahoma"/>
          <w:color w:val="000000"/>
          <w:sz w:val="21"/>
          <w:szCs w:val="21"/>
        </w:rPr>
        <w:t xml:space="preserve">; </w:t>
      </w:r>
      <w:r w:rsidRPr="00B8648D">
        <w:rPr>
          <w:rFonts w:ascii="Tahoma" w:eastAsiaTheme="minorHAnsi" w:hAnsi="Tahoma" w:cs="Tahoma"/>
          <w:color w:val="000000"/>
          <w:sz w:val="21"/>
          <w:szCs w:val="21"/>
        </w:rPr>
        <w:t xml:space="preserve">atendiendo a la reconformación de la Primera Sala del Tribunal de Contrataciones del Estado, según lo dispuesto en la Resolución № 103-2011-OSCE/PRE, expedida el 15 de febrero de 2011; </w:t>
      </w:r>
      <w:r w:rsidR="009B323F" w:rsidRPr="00B8648D">
        <w:rPr>
          <w:rFonts w:ascii="Tahoma" w:eastAsiaTheme="minorHAnsi" w:hAnsi="Tahoma" w:cs="Tahoma"/>
          <w:color w:val="000000"/>
          <w:sz w:val="21"/>
          <w:szCs w:val="21"/>
        </w:rPr>
        <w:t xml:space="preserve">la </w:t>
      </w:r>
      <w:r w:rsidR="009B323F" w:rsidRPr="00B8648D">
        <w:rPr>
          <w:rFonts w:ascii="Tahoma" w:eastAsiaTheme="minorHAnsi" w:hAnsi="Tahoma" w:cs="Tahoma"/>
          <w:color w:val="000000"/>
          <w:sz w:val="21"/>
          <w:szCs w:val="21"/>
          <w:lang w:eastAsia="en-US"/>
        </w:rPr>
        <w:t>R</w:t>
      </w:r>
      <w:r w:rsidR="00F86E74" w:rsidRPr="00B8648D">
        <w:rPr>
          <w:rFonts w:ascii="Tahoma" w:eastAsiaTheme="minorHAnsi" w:hAnsi="Tahoma" w:cs="Tahoma"/>
          <w:color w:val="000000"/>
          <w:sz w:val="21"/>
          <w:szCs w:val="21"/>
          <w:lang w:eastAsia="en-US"/>
        </w:rPr>
        <w:t>esolució</w:t>
      </w:r>
      <w:r w:rsidR="009B323F" w:rsidRPr="00B8648D">
        <w:rPr>
          <w:rFonts w:ascii="Tahoma" w:eastAsiaTheme="minorHAnsi" w:hAnsi="Tahoma" w:cs="Tahoma"/>
          <w:color w:val="000000"/>
          <w:sz w:val="21"/>
          <w:szCs w:val="21"/>
          <w:lang w:eastAsia="en-US"/>
        </w:rPr>
        <w:t xml:space="preserve">n Nº 490-2011 del 01 de agosto del 2011 </w:t>
      </w:r>
      <w:r w:rsidR="00080703" w:rsidRPr="00B8648D">
        <w:rPr>
          <w:rFonts w:ascii="Tahoma" w:eastAsiaTheme="minorHAnsi" w:hAnsi="Tahoma" w:cs="Tahoma"/>
          <w:color w:val="000000"/>
          <w:sz w:val="21"/>
          <w:szCs w:val="21"/>
          <w:lang w:eastAsia="en-US"/>
        </w:rPr>
        <w:t xml:space="preserve">y el Acuerdo de Sala Plena Nº </w:t>
      </w:r>
      <w:r w:rsidR="00080703" w:rsidRPr="00B8648D">
        <w:rPr>
          <w:rStyle w:val="Textoennegrita"/>
          <w:rFonts w:ascii="Tahoma" w:hAnsi="Tahoma" w:cs="Tahoma"/>
          <w:b w:val="0"/>
          <w:color w:val="000000"/>
          <w:sz w:val="21"/>
          <w:szCs w:val="21"/>
        </w:rPr>
        <w:t>001/2011 de fecha 04 de abril del 2011</w:t>
      </w:r>
      <w:r w:rsidRPr="00B8648D">
        <w:rPr>
          <w:rFonts w:ascii="Tahoma" w:eastAsiaTheme="minorHAnsi" w:hAnsi="Tahoma" w:cs="Tahoma"/>
          <w:color w:val="000000"/>
          <w:sz w:val="21"/>
          <w:szCs w:val="21"/>
        </w:rPr>
        <w:t>,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D771FA" w:rsidRPr="00B8648D" w:rsidRDefault="00D771FA" w:rsidP="00D771FA">
      <w:pPr>
        <w:ind w:firstLine="426"/>
        <w:jc w:val="both"/>
        <w:rPr>
          <w:rFonts w:ascii="Tahoma" w:hAnsi="Tahoma" w:cs="Tahoma"/>
          <w:sz w:val="21"/>
          <w:szCs w:val="21"/>
        </w:rPr>
      </w:pPr>
    </w:p>
    <w:p w:rsidR="00D771FA" w:rsidRPr="00B8648D" w:rsidRDefault="00D771FA" w:rsidP="00D771FA">
      <w:pPr>
        <w:ind w:firstLine="567"/>
        <w:jc w:val="both"/>
        <w:rPr>
          <w:rFonts w:ascii="Tahoma" w:hAnsi="Tahoma" w:cs="Tahoma"/>
          <w:b/>
          <w:sz w:val="21"/>
          <w:szCs w:val="21"/>
        </w:rPr>
      </w:pPr>
      <w:r w:rsidRPr="00B8648D">
        <w:rPr>
          <w:rFonts w:ascii="Tahoma" w:hAnsi="Tahoma" w:cs="Tahoma"/>
          <w:b/>
          <w:sz w:val="21"/>
          <w:szCs w:val="21"/>
        </w:rPr>
        <w:t xml:space="preserve">LA SALA RESUELVE: </w:t>
      </w:r>
    </w:p>
    <w:p w:rsidR="00D771FA" w:rsidRPr="00B8648D" w:rsidRDefault="00D771FA" w:rsidP="00D771FA">
      <w:pPr>
        <w:jc w:val="both"/>
        <w:rPr>
          <w:rFonts w:ascii="Tahoma" w:hAnsi="Tahoma" w:cs="Tahoma"/>
          <w:snapToGrid w:val="0"/>
          <w:sz w:val="21"/>
          <w:szCs w:val="21"/>
        </w:rPr>
      </w:pPr>
    </w:p>
    <w:p w:rsidR="00D771FA" w:rsidRPr="00B8648D" w:rsidRDefault="00D771FA" w:rsidP="00D771FA">
      <w:pPr>
        <w:pStyle w:val="Prrafodelista"/>
        <w:widowControl/>
        <w:numPr>
          <w:ilvl w:val="0"/>
          <w:numId w:val="7"/>
        </w:numPr>
        <w:suppressAutoHyphens w:val="0"/>
        <w:ind w:left="567" w:hanging="567"/>
        <w:jc w:val="both"/>
        <w:rPr>
          <w:rFonts w:ascii="Tahoma" w:hAnsi="Tahoma" w:cs="Tahoma"/>
          <w:sz w:val="21"/>
          <w:szCs w:val="21"/>
        </w:rPr>
      </w:pPr>
      <w:r w:rsidRPr="00B8648D">
        <w:rPr>
          <w:rFonts w:ascii="Tahoma" w:hAnsi="Tahoma" w:cs="Tahoma"/>
          <w:sz w:val="21"/>
          <w:szCs w:val="21"/>
        </w:rPr>
        <w:t>SANCIONAR a la empresa H23 CONSTRUCCIONES S.A.C. con trece (13) meses de inhabilitación temporal para participar en procesos de selección y contratar con el Estado por la comisión de la infracción tipificada</w:t>
      </w:r>
      <w:r w:rsidRPr="00B8648D">
        <w:rPr>
          <w:rFonts w:ascii="Tahoma" w:eastAsia="MS Mincho" w:hAnsi="Tahoma" w:cs="Tahoma"/>
          <w:sz w:val="21"/>
          <w:szCs w:val="21"/>
        </w:rPr>
        <w:t xml:space="preserve"> en el literal b) del numeral 51.1 del artículo 51 de la Ley de Contrataciones del Estado, </w:t>
      </w:r>
      <w:r w:rsidRPr="00B8648D">
        <w:rPr>
          <w:rFonts w:ascii="Tahoma" w:hAnsi="Tahoma" w:cs="Tahoma"/>
          <w:sz w:val="21"/>
          <w:szCs w:val="21"/>
        </w:rPr>
        <w:t>sanción que entrará en vigencia a partir del sexto día hábil siguiente de notificada la presente resolución.</w:t>
      </w:r>
    </w:p>
    <w:p w:rsidR="00D771FA" w:rsidRPr="00B8648D" w:rsidRDefault="00D771FA" w:rsidP="00D771FA">
      <w:pPr>
        <w:ind w:left="567"/>
        <w:jc w:val="both"/>
        <w:rPr>
          <w:rFonts w:ascii="Tahoma" w:hAnsi="Tahoma" w:cs="Tahoma"/>
          <w:sz w:val="21"/>
          <w:szCs w:val="21"/>
        </w:rPr>
      </w:pPr>
    </w:p>
    <w:p w:rsidR="00D771FA" w:rsidRPr="00B8648D" w:rsidRDefault="00D771FA" w:rsidP="00D771FA">
      <w:pPr>
        <w:pStyle w:val="Prrafodelista"/>
        <w:widowControl/>
        <w:numPr>
          <w:ilvl w:val="0"/>
          <w:numId w:val="7"/>
        </w:numPr>
        <w:suppressAutoHyphens w:val="0"/>
        <w:ind w:left="567" w:hanging="567"/>
        <w:jc w:val="both"/>
        <w:rPr>
          <w:rFonts w:ascii="Tahoma" w:hAnsi="Tahoma" w:cs="Tahoma"/>
          <w:sz w:val="21"/>
          <w:szCs w:val="21"/>
        </w:rPr>
      </w:pPr>
      <w:r w:rsidRPr="00B8648D">
        <w:rPr>
          <w:rFonts w:ascii="Tahoma" w:hAnsi="Tahoma" w:cs="Tahoma"/>
          <w:sz w:val="21"/>
          <w:szCs w:val="21"/>
        </w:rPr>
        <w:t>Poner la presente Resolución en conocimiento de la Subdirección del Registro Nacional de Proveedores del Organismo Supervisor de las Contrataciones del Estado (OSCE) para las anotaciones de ley correspondientes.</w:t>
      </w:r>
    </w:p>
    <w:p w:rsidR="00D771FA" w:rsidRPr="00B8648D" w:rsidRDefault="00D771FA" w:rsidP="00D771FA">
      <w:pPr>
        <w:jc w:val="both"/>
        <w:rPr>
          <w:rFonts w:ascii="Tahoma" w:hAnsi="Tahoma" w:cs="Tahoma"/>
          <w:sz w:val="21"/>
          <w:szCs w:val="21"/>
          <w:lang w:val="es-ES_tradnl"/>
        </w:rPr>
      </w:pPr>
    </w:p>
    <w:p w:rsidR="00D771FA" w:rsidRPr="00B8648D" w:rsidRDefault="00D771FA" w:rsidP="00D771FA">
      <w:pPr>
        <w:pStyle w:val="Textoindependiente21"/>
        <w:ind w:firstLine="567"/>
        <w:rPr>
          <w:rFonts w:cs="Tahoma"/>
          <w:sz w:val="21"/>
          <w:szCs w:val="21"/>
        </w:rPr>
      </w:pPr>
      <w:r w:rsidRPr="00B8648D">
        <w:rPr>
          <w:rFonts w:cs="Tahoma"/>
          <w:sz w:val="21"/>
          <w:szCs w:val="21"/>
        </w:rPr>
        <w:t>Regístrese, comuníquese y publíquese.</w:t>
      </w: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z w:val="21"/>
          <w:szCs w:val="21"/>
        </w:rPr>
      </w:pPr>
    </w:p>
    <w:p w:rsidR="00D771FA" w:rsidRPr="00B8648D" w:rsidRDefault="00D771FA" w:rsidP="00D771FA">
      <w:pPr>
        <w:jc w:val="center"/>
        <w:rPr>
          <w:rFonts w:ascii="Tahoma" w:hAnsi="Tahoma" w:cs="Tahoma"/>
          <w:b/>
          <w:shadow/>
          <w:sz w:val="21"/>
          <w:szCs w:val="21"/>
          <w:lang w:val="pt-BR"/>
        </w:rPr>
      </w:pPr>
      <w:r w:rsidRPr="00B8648D">
        <w:rPr>
          <w:rFonts w:ascii="Tahoma" w:hAnsi="Tahoma" w:cs="Tahoma"/>
          <w:b/>
          <w:shadow/>
          <w:sz w:val="21"/>
          <w:szCs w:val="21"/>
          <w:lang w:val="pt-BR"/>
        </w:rPr>
        <w:t>PRESIDENTE</w:t>
      </w:r>
    </w:p>
    <w:p w:rsidR="00D771FA" w:rsidRPr="00B8648D" w:rsidRDefault="00D771FA" w:rsidP="00D771FA">
      <w:pPr>
        <w:ind w:firstLine="708"/>
        <w:rPr>
          <w:rFonts w:ascii="Tahoma" w:hAnsi="Tahoma" w:cs="Tahoma"/>
          <w:b/>
          <w:shadow/>
          <w:sz w:val="21"/>
          <w:szCs w:val="21"/>
          <w:lang w:val="pt-BR"/>
        </w:rPr>
      </w:pPr>
    </w:p>
    <w:p w:rsidR="00D771FA" w:rsidRPr="00B8648D" w:rsidRDefault="00D771FA" w:rsidP="00D771FA">
      <w:pPr>
        <w:ind w:firstLine="708"/>
        <w:rPr>
          <w:rFonts w:ascii="Tahoma" w:hAnsi="Tahoma" w:cs="Tahoma"/>
          <w:b/>
          <w:shadow/>
          <w:sz w:val="21"/>
          <w:szCs w:val="21"/>
          <w:lang w:val="pt-BR"/>
        </w:rPr>
      </w:pPr>
      <w:r w:rsidRPr="00B8648D">
        <w:rPr>
          <w:rFonts w:ascii="Tahoma" w:hAnsi="Tahoma" w:cs="Tahoma"/>
          <w:b/>
          <w:shadow/>
          <w:sz w:val="21"/>
          <w:szCs w:val="21"/>
          <w:lang w:val="pt-BR"/>
        </w:rPr>
        <w:t xml:space="preserve">VOCAL           </w:t>
      </w:r>
      <w:r w:rsidRPr="00B8648D">
        <w:rPr>
          <w:rFonts w:ascii="Tahoma" w:hAnsi="Tahoma" w:cs="Tahoma"/>
          <w:b/>
          <w:shadow/>
          <w:sz w:val="21"/>
          <w:szCs w:val="21"/>
          <w:lang w:val="pt-BR"/>
        </w:rPr>
        <w:tab/>
      </w:r>
      <w:r w:rsidRPr="00B8648D">
        <w:rPr>
          <w:rFonts w:ascii="Tahoma" w:hAnsi="Tahoma" w:cs="Tahoma"/>
          <w:b/>
          <w:shadow/>
          <w:sz w:val="21"/>
          <w:szCs w:val="21"/>
          <w:lang w:val="pt-BR"/>
        </w:rPr>
        <w:tab/>
        <w:t xml:space="preserve">                                                            VOCAL</w:t>
      </w:r>
    </w:p>
    <w:p w:rsidR="00D771FA" w:rsidRPr="00B8648D" w:rsidRDefault="00D771FA" w:rsidP="00D771FA">
      <w:pPr>
        <w:rPr>
          <w:rFonts w:ascii="Tahoma" w:hAnsi="Tahoma" w:cs="Tahoma"/>
          <w:sz w:val="21"/>
          <w:szCs w:val="21"/>
          <w:lang w:val="pt-BR"/>
        </w:rPr>
      </w:pPr>
    </w:p>
    <w:p w:rsidR="00D771FA" w:rsidRPr="00B8648D" w:rsidRDefault="00D771FA" w:rsidP="00D771FA">
      <w:pPr>
        <w:rPr>
          <w:rFonts w:ascii="Tahoma" w:hAnsi="Tahoma" w:cs="Tahoma"/>
          <w:sz w:val="21"/>
          <w:szCs w:val="21"/>
          <w:lang w:val="pt-BR"/>
        </w:rPr>
      </w:pPr>
    </w:p>
    <w:p w:rsidR="00D771FA" w:rsidRPr="00B8648D" w:rsidRDefault="00D771FA" w:rsidP="00D771FA">
      <w:pPr>
        <w:jc w:val="both"/>
        <w:rPr>
          <w:rFonts w:ascii="Tahoma" w:hAnsi="Tahoma" w:cs="Tahoma"/>
          <w:sz w:val="21"/>
          <w:szCs w:val="21"/>
          <w:lang w:val="pt-BR"/>
        </w:rPr>
      </w:pPr>
      <w:r w:rsidRPr="00B8648D">
        <w:rPr>
          <w:rFonts w:ascii="Tahoma" w:hAnsi="Tahoma" w:cs="Tahoma"/>
          <w:sz w:val="21"/>
          <w:szCs w:val="21"/>
          <w:lang w:val="pt-BR"/>
        </w:rPr>
        <w:t>ss.</w:t>
      </w:r>
    </w:p>
    <w:p w:rsidR="00F86E74" w:rsidRPr="00B8648D" w:rsidRDefault="00F86E74" w:rsidP="00D771FA">
      <w:pPr>
        <w:pStyle w:val="Textoindependiente21"/>
        <w:tabs>
          <w:tab w:val="left" w:pos="5250"/>
        </w:tabs>
        <w:rPr>
          <w:rFonts w:cs="Tahoma"/>
          <w:sz w:val="21"/>
          <w:szCs w:val="21"/>
        </w:rPr>
      </w:pPr>
      <w:r w:rsidRPr="00B8648D">
        <w:rPr>
          <w:rStyle w:val="Textoennegrita"/>
          <w:rFonts w:cs="Tahoma"/>
          <w:b w:val="0"/>
          <w:color w:val="000000"/>
          <w:sz w:val="21"/>
          <w:szCs w:val="21"/>
        </w:rPr>
        <w:t>Seminario Zavala</w:t>
      </w:r>
      <w:r w:rsidRPr="00B8648D">
        <w:rPr>
          <w:rFonts w:cs="Tahoma"/>
          <w:sz w:val="21"/>
          <w:szCs w:val="21"/>
        </w:rPr>
        <w:t>.</w:t>
      </w:r>
    </w:p>
    <w:p w:rsidR="00D771FA" w:rsidRPr="00B8648D" w:rsidRDefault="00D771FA" w:rsidP="00D771FA">
      <w:pPr>
        <w:pStyle w:val="Textoindependiente21"/>
        <w:tabs>
          <w:tab w:val="left" w:pos="5250"/>
        </w:tabs>
        <w:rPr>
          <w:rFonts w:cs="Tahoma"/>
          <w:sz w:val="21"/>
          <w:szCs w:val="21"/>
          <w:lang w:val="pt-BR"/>
        </w:rPr>
      </w:pPr>
      <w:r w:rsidRPr="00B8648D">
        <w:rPr>
          <w:rFonts w:cs="Tahoma"/>
          <w:sz w:val="21"/>
          <w:szCs w:val="21"/>
          <w:lang w:val="pt-BR"/>
        </w:rPr>
        <w:t>Basulto Liewald.</w:t>
      </w:r>
    </w:p>
    <w:p w:rsidR="00F86E74" w:rsidRPr="00B8648D" w:rsidRDefault="00F86E74" w:rsidP="00D771FA">
      <w:pPr>
        <w:pStyle w:val="Textoindependiente21"/>
        <w:tabs>
          <w:tab w:val="left" w:pos="5250"/>
        </w:tabs>
        <w:rPr>
          <w:rFonts w:cs="Tahoma"/>
          <w:sz w:val="21"/>
          <w:szCs w:val="21"/>
        </w:rPr>
      </w:pPr>
      <w:r w:rsidRPr="00B8648D">
        <w:rPr>
          <w:rStyle w:val="Textoennegrita"/>
          <w:rFonts w:cs="Tahoma"/>
          <w:b w:val="0"/>
          <w:color w:val="000000"/>
          <w:sz w:val="21"/>
          <w:szCs w:val="21"/>
        </w:rPr>
        <w:t>Yaya Luyo</w:t>
      </w:r>
    </w:p>
    <w:p w:rsidR="008B738B" w:rsidRPr="00B8648D" w:rsidRDefault="008349BE">
      <w:pPr>
        <w:rPr>
          <w:rFonts w:ascii="Tahoma" w:hAnsi="Tahoma" w:cs="Tahoma"/>
          <w:sz w:val="21"/>
          <w:szCs w:val="21"/>
        </w:rPr>
      </w:pPr>
    </w:p>
    <w:sectPr w:rsidR="008B738B" w:rsidRPr="00B8648D"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9BE" w:rsidRDefault="008349BE" w:rsidP="00D771FA">
      <w:r>
        <w:separator/>
      </w:r>
    </w:p>
  </w:endnote>
  <w:endnote w:type="continuationSeparator" w:id="1">
    <w:p w:rsidR="008349BE" w:rsidRDefault="008349BE" w:rsidP="00D77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6B6F97">
            <w:pPr>
              <w:pStyle w:val="Piedepgina"/>
              <w:jc w:val="center"/>
            </w:pPr>
            <w:r>
              <w:t xml:space="preserve">Página </w:t>
            </w:r>
            <w:r w:rsidR="009B0AA9">
              <w:rPr>
                <w:b/>
              </w:rPr>
              <w:fldChar w:fldCharType="begin"/>
            </w:r>
            <w:r>
              <w:rPr>
                <w:b/>
              </w:rPr>
              <w:instrText>PAGE</w:instrText>
            </w:r>
            <w:r w:rsidR="009B0AA9">
              <w:rPr>
                <w:b/>
              </w:rPr>
              <w:fldChar w:fldCharType="separate"/>
            </w:r>
            <w:r w:rsidR="00DE0DFC">
              <w:rPr>
                <w:b/>
                <w:noProof/>
              </w:rPr>
              <w:t>1</w:t>
            </w:r>
            <w:r w:rsidR="009B0AA9">
              <w:rPr>
                <w:b/>
              </w:rPr>
              <w:fldChar w:fldCharType="end"/>
            </w:r>
            <w:r>
              <w:t xml:space="preserve"> de </w:t>
            </w:r>
            <w:r w:rsidR="009B0AA9">
              <w:rPr>
                <w:b/>
              </w:rPr>
              <w:fldChar w:fldCharType="begin"/>
            </w:r>
            <w:r>
              <w:rPr>
                <w:b/>
              </w:rPr>
              <w:instrText>NUMPAGES</w:instrText>
            </w:r>
            <w:r w:rsidR="009B0AA9">
              <w:rPr>
                <w:b/>
              </w:rPr>
              <w:fldChar w:fldCharType="separate"/>
            </w:r>
            <w:r w:rsidR="00DE0DFC">
              <w:rPr>
                <w:b/>
                <w:noProof/>
              </w:rPr>
              <w:t>6</w:t>
            </w:r>
            <w:r w:rsidR="009B0AA9">
              <w:rPr>
                <w:b/>
              </w:rPr>
              <w:fldChar w:fldCharType="end"/>
            </w:r>
          </w:p>
        </w:sdtContent>
      </w:sdt>
    </w:sdtContent>
  </w:sdt>
  <w:p w:rsidR="00524317" w:rsidRDefault="008349B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9BE" w:rsidRDefault="008349BE" w:rsidP="00D771FA">
      <w:r>
        <w:separator/>
      </w:r>
    </w:p>
  </w:footnote>
  <w:footnote w:type="continuationSeparator" w:id="1">
    <w:p w:rsidR="008349BE" w:rsidRDefault="008349BE" w:rsidP="00D771FA">
      <w:r>
        <w:continuationSeparator/>
      </w:r>
    </w:p>
  </w:footnote>
  <w:footnote w:id="2">
    <w:p w:rsidR="00D771FA" w:rsidRDefault="00D771FA" w:rsidP="00D771FA">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D771FA" w:rsidRPr="00A728D9" w:rsidRDefault="00D771FA" w:rsidP="00D771FA">
      <w:pPr>
        <w:pStyle w:val="Textonotapie"/>
        <w:rPr>
          <w:rFonts w:ascii="Tahoma" w:hAnsi="Tahoma" w:cs="Tahoma"/>
          <w:sz w:val="16"/>
          <w:szCs w:val="16"/>
        </w:rPr>
      </w:pPr>
    </w:p>
  </w:footnote>
  <w:footnote w:id="3">
    <w:p w:rsidR="00D771FA" w:rsidRDefault="00D771FA" w:rsidP="00D771FA">
      <w:pPr>
        <w:pStyle w:val="Textonotapie"/>
        <w:rPr>
          <w:rFonts w:ascii="Tahoma" w:hAnsi="Tahoma" w:cs="Tahoma"/>
          <w:sz w:val="16"/>
          <w:szCs w:val="16"/>
        </w:rPr>
      </w:pPr>
      <w:r w:rsidRPr="00A728D9">
        <w:rPr>
          <w:rStyle w:val="Refdenotaalpie"/>
          <w:rFonts w:ascii="Tahoma" w:hAnsi="Tahoma" w:cs="Tahoma"/>
          <w:sz w:val="16"/>
          <w:szCs w:val="16"/>
        </w:rPr>
        <w:footnoteRef/>
      </w:r>
      <w:r>
        <w:rPr>
          <w:rFonts w:ascii="Tahoma" w:hAnsi="Tahoma" w:cs="Tahoma"/>
          <w:sz w:val="16"/>
          <w:szCs w:val="16"/>
        </w:rPr>
        <w:t xml:space="preserve"> Documento que obra a fojas 245</w:t>
      </w:r>
      <w:r w:rsidRPr="00A728D9">
        <w:rPr>
          <w:rFonts w:ascii="Tahoma" w:hAnsi="Tahoma" w:cs="Tahoma"/>
          <w:sz w:val="16"/>
          <w:szCs w:val="16"/>
        </w:rPr>
        <w:t xml:space="preserve"> del expediente.</w:t>
      </w:r>
    </w:p>
    <w:p w:rsidR="00D771FA" w:rsidRPr="00A728D9" w:rsidRDefault="00D771FA" w:rsidP="00D771FA">
      <w:pPr>
        <w:pStyle w:val="Textonotapie"/>
        <w:rPr>
          <w:rFonts w:ascii="Tahoma" w:hAnsi="Tahoma" w:cs="Tahoma"/>
          <w:sz w:val="16"/>
          <w:szCs w:val="16"/>
        </w:rPr>
      </w:pPr>
    </w:p>
  </w:footnote>
  <w:footnote w:id="4">
    <w:p w:rsidR="00D771FA" w:rsidRPr="00A728D9" w:rsidRDefault="00D771FA" w:rsidP="00D771FA">
      <w:pPr>
        <w:autoSpaceDE w:val="0"/>
        <w:autoSpaceDN w:val="0"/>
        <w:adjustRightInd w:val="0"/>
        <w:jc w:val="both"/>
        <w:rPr>
          <w:rFonts w:ascii="Tahoma" w:hAnsi="Tahoma" w:cs="Tahoma"/>
          <w:b/>
          <w:bCs/>
          <w:sz w:val="16"/>
          <w:szCs w:val="16"/>
        </w:rPr>
      </w:pPr>
      <w:r w:rsidRPr="00A728D9">
        <w:rPr>
          <w:rStyle w:val="Refdenotaalpie"/>
          <w:rFonts w:ascii="Tahoma" w:eastAsia="Batang" w:hAnsi="Tahoma" w:cs="Tahoma"/>
          <w:sz w:val="16"/>
          <w:szCs w:val="16"/>
        </w:rPr>
        <w:footnoteRef/>
      </w:r>
      <w:r w:rsidRPr="00A728D9">
        <w:rPr>
          <w:rFonts w:ascii="Tahoma" w:hAnsi="Tahoma" w:cs="Tahoma"/>
          <w:sz w:val="16"/>
          <w:szCs w:val="16"/>
        </w:rPr>
        <w:t xml:space="preserve"> </w:t>
      </w:r>
      <w:r w:rsidRPr="00A728D9">
        <w:rPr>
          <w:rFonts w:ascii="Tahoma" w:hAnsi="Tahoma" w:cs="Tahoma"/>
          <w:b/>
          <w:bCs/>
          <w:sz w:val="16"/>
          <w:szCs w:val="16"/>
        </w:rPr>
        <w:t>Artículo 245.- Determinación gradual de la Sanción</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Para graduar la sanción a imponerse conforme a las disposiciones del presente Título, se considerarán los siguientes criterios:</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1) Naturaleza de la infracción.</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2) Intencionalidad del infractor.</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3) Daño causado.</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4) Reiterancia.</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5) El reconocimiento de la infracción cometida antes de que sea detectada.</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6) Circunstancias de tiempo, lugar y modo.</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7) Condiciones del infractor.</w:t>
      </w:r>
    </w:p>
    <w:p w:rsidR="00D771FA" w:rsidRPr="00A728D9" w:rsidRDefault="00D771FA" w:rsidP="00D771FA">
      <w:pPr>
        <w:autoSpaceDE w:val="0"/>
        <w:autoSpaceDN w:val="0"/>
        <w:adjustRightInd w:val="0"/>
        <w:jc w:val="both"/>
        <w:rPr>
          <w:rFonts w:ascii="Tahoma" w:hAnsi="Tahoma" w:cs="Tahoma"/>
          <w:sz w:val="16"/>
          <w:szCs w:val="16"/>
        </w:rPr>
      </w:pPr>
      <w:r w:rsidRPr="00A728D9">
        <w:rPr>
          <w:rFonts w:ascii="Tahoma" w:hAnsi="Tahoma" w:cs="Tahoma"/>
          <w:sz w:val="16"/>
          <w:szCs w:val="16"/>
        </w:rPr>
        <w:t>8) Conducta procesal del infractor.</w:t>
      </w:r>
    </w:p>
    <w:p w:rsidR="00D771FA" w:rsidRPr="00B374B2" w:rsidRDefault="00D771FA" w:rsidP="00D771FA">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DFC" w:rsidRDefault="00DE0DFC" w:rsidP="00DE0DF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E0DFC" w:rsidRDefault="00DE0DFC" w:rsidP="00DE0DFC">
    <w:pPr>
      <w:pStyle w:val="Encabezado"/>
      <w:rPr>
        <w:noProof/>
      </w:rPr>
    </w:pPr>
  </w:p>
  <w:p w:rsidR="00DE0DFC" w:rsidRDefault="00DE0DFC" w:rsidP="00DE0DFC">
    <w:pPr>
      <w:pStyle w:val="Encabezado"/>
      <w:jc w:val="center"/>
      <w:rPr>
        <w:rFonts w:ascii="Monotype Corsiva" w:hAnsi="Monotype Corsiva"/>
        <w:b/>
        <w:sz w:val="44"/>
        <w:szCs w:val="44"/>
      </w:rPr>
    </w:pPr>
  </w:p>
  <w:p w:rsidR="00DE0DFC" w:rsidRDefault="00DE0DFC" w:rsidP="00DE0DFC">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1344-2011-TC-S1</w:t>
    </w:r>
  </w:p>
  <w:p w:rsidR="00DE0DFC" w:rsidRDefault="00DE0DF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1616A9F8"/>
    <w:lvl w:ilvl="0" w:tplc="1CDC7B1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F5C638B4"/>
    <w:lvl w:ilvl="0" w:tplc="9A2C240A">
      <w:start w:val="1"/>
      <w:numFmt w:val="decimal"/>
      <w:lvlText w:val="%1."/>
      <w:lvlJc w:val="left"/>
      <w:pPr>
        <w:ind w:left="720" w:hanging="360"/>
      </w:pPr>
      <w:rPr>
        <w:rFonts w:ascii="Tahoma" w:hAnsi="Tahoma" w:cs="Tahoma" w:hint="default"/>
        <w:b/>
        <w:i w:val="0"/>
        <w:sz w:val="21"/>
        <w:szCs w:val="21"/>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16B72984"/>
    <w:multiLevelType w:val="hybridMultilevel"/>
    <w:tmpl w:val="EBB8828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41A6409A"/>
    <w:multiLevelType w:val="hybridMultilevel"/>
    <w:tmpl w:val="22AA579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2AA381B"/>
    <w:multiLevelType w:val="hybridMultilevel"/>
    <w:tmpl w:val="5D444BE2"/>
    <w:lvl w:ilvl="0" w:tplc="42BC8872">
      <w:start w:val="1"/>
      <w:numFmt w:val="decimal"/>
      <w:lvlText w:val="%1."/>
      <w:lvlJc w:val="left"/>
      <w:pPr>
        <w:tabs>
          <w:tab w:val="num" w:pos="928"/>
        </w:tabs>
        <w:ind w:left="928" w:hanging="360"/>
      </w:pPr>
      <w:rPr>
        <w:rFonts w:hint="default"/>
        <w:b/>
      </w:rPr>
    </w:lvl>
    <w:lvl w:ilvl="1" w:tplc="0C0A0019" w:tentative="1">
      <w:start w:val="1"/>
      <w:numFmt w:val="lowerLetter"/>
      <w:lvlText w:val="%2."/>
      <w:lvlJc w:val="left"/>
      <w:pPr>
        <w:tabs>
          <w:tab w:val="num" w:pos="1648"/>
        </w:tabs>
        <w:ind w:left="1648" w:hanging="360"/>
      </w:pPr>
    </w:lvl>
    <w:lvl w:ilvl="2" w:tplc="0C0A001B" w:tentative="1">
      <w:start w:val="1"/>
      <w:numFmt w:val="lowerRoman"/>
      <w:lvlText w:val="%3."/>
      <w:lvlJc w:val="right"/>
      <w:pPr>
        <w:tabs>
          <w:tab w:val="num" w:pos="2368"/>
        </w:tabs>
        <w:ind w:left="2368" w:hanging="180"/>
      </w:pPr>
    </w:lvl>
    <w:lvl w:ilvl="3" w:tplc="0C0A000F" w:tentative="1">
      <w:start w:val="1"/>
      <w:numFmt w:val="decimal"/>
      <w:lvlText w:val="%4."/>
      <w:lvlJc w:val="left"/>
      <w:pPr>
        <w:tabs>
          <w:tab w:val="num" w:pos="3088"/>
        </w:tabs>
        <w:ind w:left="3088" w:hanging="360"/>
      </w:pPr>
    </w:lvl>
    <w:lvl w:ilvl="4" w:tplc="0C0A0019" w:tentative="1">
      <w:start w:val="1"/>
      <w:numFmt w:val="lowerLetter"/>
      <w:lvlText w:val="%5."/>
      <w:lvlJc w:val="left"/>
      <w:pPr>
        <w:tabs>
          <w:tab w:val="num" w:pos="3808"/>
        </w:tabs>
        <w:ind w:left="3808" w:hanging="360"/>
      </w:pPr>
    </w:lvl>
    <w:lvl w:ilvl="5" w:tplc="0C0A001B" w:tentative="1">
      <w:start w:val="1"/>
      <w:numFmt w:val="lowerRoman"/>
      <w:lvlText w:val="%6."/>
      <w:lvlJc w:val="right"/>
      <w:pPr>
        <w:tabs>
          <w:tab w:val="num" w:pos="4528"/>
        </w:tabs>
        <w:ind w:left="4528" w:hanging="180"/>
      </w:pPr>
    </w:lvl>
    <w:lvl w:ilvl="6" w:tplc="0C0A000F" w:tentative="1">
      <w:start w:val="1"/>
      <w:numFmt w:val="decimal"/>
      <w:lvlText w:val="%7."/>
      <w:lvlJc w:val="left"/>
      <w:pPr>
        <w:tabs>
          <w:tab w:val="num" w:pos="5248"/>
        </w:tabs>
        <w:ind w:left="5248" w:hanging="360"/>
      </w:pPr>
    </w:lvl>
    <w:lvl w:ilvl="7" w:tplc="0C0A0019" w:tentative="1">
      <w:start w:val="1"/>
      <w:numFmt w:val="lowerLetter"/>
      <w:lvlText w:val="%8."/>
      <w:lvlJc w:val="left"/>
      <w:pPr>
        <w:tabs>
          <w:tab w:val="num" w:pos="5968"/>
        </w:tabs>
        <w:ind w:left="5968" w:hanging="360"/>
      </w:pPr>
    </w:lvl>
    <w:lvl w:ilvl="8" w:tplc="0C0A001B" w:tentative="1">
      <w:start w:val="1"/>
      <w:numFmt w:val="lowerRoman"/>
      <w:lvlText w:val="%9."/>
      <w:lvlJc w:val="right"/>
      <w:pPr>
        <w:tabs>
          <w:tab w:val="num" w:pos="6688"/>
        </w:tabs>
        <w:ind w:left="6688" w:hanging="180"/>
      </w:pPr>
    </w:lvl>
  </w:abstractNum>
  <w:abstractNum w:abstractNumId="5">
    <w:nsid w:val="443E49B2"/>
    <w:multiLevelType w:val="hybridMultilevel"/>
    <w:tmpl w:val="12163B10"/>
    <w:lvl w:ilvl="0" w:tplc="0C0A0017">
      <w:start w:val="1"/>
      <w:numFmt w:val="lowerLetter"/>
      <w:lvlText w:val="%1)"/>
      <w:lvlJc w:val="left"/>
      <w:pPr>
        <w:ind w:left="1713" w:hanging="360"/>
      </w:pPr>
    </w:lvl>
    <w:lvl w:ilvl="1" w:tplc="0C0A0019" w:tentative="1">
      <w:start w:val="1"/>
      <w:numFmt w:val="lowerLetter"/>
      <w:lvlText w:val="%2."/>
      <w:lvlJc w:val="left"/>
      <w:pPr>
        <w:ind w:left="2433" w:hanging="360"/>
      </w:pPr>
    </w:lvl>
    <w:lvl w:ilvl="2" w:tplc="0C0A001B" w:tentative="1">
      <w:start w:val="1"/>
      <w:numFmt w:val="lowerRoman"/>
      <w:lvlText w:val="%3."/>
      <w:lvlJc w:val="right"/>
      <w:pPr>
        <w:ind w:left="3153" w:hanging="180"/>
      </w:pPr>
    </w:lvl>
    <w:lvl w:ilvl="3" w:tplc="0C0A000F" w:tentative="1">
      <w:start w:val="1"/>
      <w:numFmt w:val="decimal"/>
      <w:lvlText w:val="%4."/>
      <w:lvlJc w:val="left"/>
      <w:pPr>
        <w:ind w:left="3873" w:hanging="360"/>
      </w:pPr>
    </w:lvl>
    <w:lvl w:ilvl="4" w:tplc="0C0A0019" w:tentative="1">
      <w:start w:val="1"/>
      <w:numFmt w:val="lowerLetter"/>
      <w:lvlText w:val="%5."/>
      <w:lvlJc w:val="left"/>
      <w:pPr>
        <w:ind w:left="4593" w:hanging="360"/>
      </w:pPr>
    </w:lvl>
    <w:lvl w:ilvl="5" w:tplc="0C0A001B" w:tentative="1">
      <w:start w:val="1"/>
      <w:numFmt w:val="lowerRoman"/>
      <w:lvlText w:val="%6."/>
      <w:lvlJc w:val="right"/>
      <w:pPr>
        <w:ind w:left="5313" w:hanging="180"/>
      </w:pPr>
    </w:lvl>
    <w:lvl w:ilvl="6" w:tplc="0C0A000F" w:tentative="1">
      <w:start w:val="1"/>
      <w:numFmt w:val="decimal"/>
      <w:lvlText w:val="%7."/>
      <w:lvlJc w:val="left"/>
      <w:pPr>
        <w:ind w:left="6033" w:hanging="360"/>
      </w:pPr>
    </w:lvl>
    <w:lvl w:ilvl="7" w:tplc="0C0A0019" w:tentative="1">
      <w:start w:val="1"/>
      <w:numFmt w:val="lowerLetter"/>
      <w:lvlText w:val="%8."/>
      <w:lvlJc w:val="left"/>
      <w:pPr>
        <w:ind w:left="6753" w:hanging="360"/>
      </w:pPr>
    </w:lvl>
    <w:lvl w:ilvl="8" w:tplc="0C0A001B" w:tentative="1">
      <w:start w:val="1"/>
      <w:numFmt w:val="lowerRoman"/>
      <w:lvlText w:val="%9."/>
      <w:lvlJc w:val="right"/>
      <w:pPr>
        <w:ind w:left="7473" w:hanging="180"/>
      </w:pPr>
    </w:lvl>
  </w:abstractNum>
  <w:abstractNum w:abstractNumId="6">
    <w:nsid w:val="74CE572F"/>
    <w:multiLevelType w:val="hybridMultilevel"/>
    <w:tmpl w:val="172EA4BA"/>
    <w:lvl w:ilvl="0" w:tplc="F79A5BF4">
      <w:start w:val="1"/>
      <w:numFmt w:val="decimal"/>
      <w:lvlText w:val="%1."/>
      <w:lvlJc w:val="left"/>
      <w:pPr>
        <w:tabs>
          <w:tab w:val="num" w:pos="454"/>
        </w:tabs>
        <w:ind w:left="454" w:hanging="454"/>
      </w:pPr>
      <w:rPr>
        <w:rFonts w:ascii="Tahoma" w:hAnsi="Tahoma" w:cs="Tahoma" w:hint="default"/>
        <w:b/>
        <w:i w:val="0"/>
        <w:shadow/>
        <w:color w:val="auto"/>
        <w:sz w:val="21"/>
        <w:szCs w:val="21"/>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num w:numId="1">
    <w:abstractNumId w:val="1"/>
  </w:num>
  <w:num w:numId="2">
    <w:abstractNumId w:val="2"/>
  </w:num>
  <w:num w:numId="3">
    <w:abstractNumId w:val="3"/>
  </w:num>
  <w:num w:numId="4">
    <w:abstractNumId w:val="5"/>
  </w:num>
  <w:num w:numId="5">
    <w:abstractNumId w:val="6"/>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D771FA"/>
    <w:rsid w:val="00080703"/>
    <w:rsid w:val="00261322"/>
    <w:rsid w:val="005F0E2E"/>
    <w:rsid w:val="006B6F97"/>
    <w:rsid w:val="00743795"/>
    <w:rsid w:val="007F5FE4"/>
    <w:rsid w:val="008349BE"/>
    <w:rsid w:val="009042C5"/>
    <w:rsid w:val="009B0AA9"/>
    <w:rsid w:val="009B323F"/>
    <w:rsid w:val="00B8648D"/>
    <w:rsid w:val="00BA7895"/>
    <w:rsid w:val="00D771FA"/>
    <w:rsid w:val="00DE0DFC"/>
    <w:rsid w:val="00F86E7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1F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771FA"/>
    <w:pPr>
      <w:spacing w:after="120"/>
    </w:pPr>
    <w:rPr>
      <w:sz w:val="16"/>
      <w:szCs w:val="16"/>
      <w:lang w:val="es-PE"/>
    </w:rPr>
  </w:style>
  <w:style w:type="character" w:customStyle="1" w:styleId="Textoindependiente3Car">
    <w:name w:val="Texto independiente 3 Car"/>
    <w:basedOn w:val="Fuentedeprrafopredeter"/>
    <w:link w:val="Textoindependiente3"/>
    <w:rsid w:val="00D771F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771FA"/>
    <w:pPr>
      <w:jc w:val="both"/>
    </w:pPr>
    <w:rPr>
      <w:rFonts w:ascii="Tahoma" w:hAnsi="Tahoma"/>
      <w:sz w:val="22"/>
      <w:szCs w:val="20"/>
    </w:rPr>
  </w:style>
  <w:style w:type="paragraph" w:styleId="Prrafodelista">
    <w:name w:val="List Paragraph"/>
    <w:basedOn w:val="Normal"/>
    <w:qFormat/>
    <w:rsid w:val="00D771FA"/>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D771FA"/>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D771F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D771FA"/>
    <w:rPr>
      <w:rFonts w:cs="Times New Roman"/>
      <w:vertAlign w:val="superscript"/>
    </w:rPr>
  </w:style>
  <w:style w:type="paragraph" w:styleId="Piedepgina">
    <w:name w:val="footer"/>
    <w:basedOn w:val="Normal"/>
    <w:link w:val="PiedepginaCar"/>
    <w:uiPriority w:val="99"/>
    <w:unhideWhenUsed/>
    <w:rsid w:val="00D771FA"/>
    <w:pPr>
      <w:tabs>
        <w:tab w:val="center" w:pos="4252"/>
        <w:tab w:val="right" w:pos="8504"/>
      </w:tabs>
    </w:pPr>
  </w:style>
  <w:style w:type="character" w:customStyle="1" w:styleId="PiedepginaCar">
    <w:name w:val="Pie de página Car"/>
    <w:basedOn w:val="Fuentedeprrafopredeter"/>
    <w:link w:val="Piedepgina"/>
    <w:uiPriority w:val="99"/>
    <w:rsid w:val="00D771FA"/>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rsid w:val="00D7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conformatoprevioCar">
    <w:name w:val="HTML con formato previo Car"/>
    <w:basedOn w:val="Fuentedeprrafopredeter"/>
    <w:link w:val="HTMLconformatoprevio"/>
    <w:rsid w:val="00D771FA"/>
    <w:rPr>
      <w:rFonts w:ascii="Courier New" w:eastAsia="Times New Roman" w:hAnsi="Courier New" w:cs="Courier New"/>
      <w:color w:val="000000"/>
      <w:sz w:val="20"/>
      <w:szCs w:val="20"/>
      <w:lang w:eastAsia="es-ES"/>
    </w:rPr>
  </w:style>
  <w:style w:type="character" w:styleId="Textoennegrita">
    <w:name w:val="Strong"/>
    <w:basedOn w:val="Fuentedeprrafopredeter"/>
    <w:uiPriority w:val="22"/>
    <w:qFormat/>
    <w:rsid w:val="00743795"/>
    <w:rPr>
      <w:b/>
      <w:bCs/>
    </w:rPr>
  </w:style>
  <w:style w:type="paragraph" w:styleId="Encabezado">
    <w:name w:val="header"/>
    <w:aliases w:val="maria,h"/>
    <w:basedOn w:val="Normal"/>
    <w:link w:val="EncabezadoCar"/>
    <w:uiPriority w:val="99"/>
    <w:semiHidden/>
    <w:unhideWhenUsed/>
    <w:rsid w:val="00DE0DF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E0DF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8093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2191</Words>
  <Characters>12054</Characters>
  <Application>Microsoft Office Word</Application>
  <DocSecurity>0</DocSecurity>
  <Lines>100</Lines>
  <Paragraphs>28</Paragraphs>
  <ScaleCrop>false</ScaleCrop>
  <Company/>
  <LinksUpToDate>false</LinksUpToDate>
  <CharactersWithSpaces>14217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11</cp:revision>
  <cp:lastPrinted>2011-08-05T16:07:00Z</cp:lastPrinted>
  <dcterms:created xsi:type="dcterms:W3CDTF">2011-08-05T15:27:00Z</dcterms:created>
  <dcterms:modified xsi:type="dcterms:W3CDTF">2011-10-12T14:30:00Z</dcterms:modified>
</cp:coreProperties>
</file>